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07C1B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007C1B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CB6540">
        <w:rPr>
          <w:sz w:val="28"/>
          <w:szCs w:val="28"/>
        </w:rPr>
        <w:t>321,4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C432A2">
        <w:rPr>
          <w:sz w:val="28"/>
          <w:szCs w:val="28"/>
          <w:bdr w:val="none" w:sz="0" w:space="0" w:color="auto" w:frame="1"/>
        </w:rPr>
        <w:t>8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C432A2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 xml:space="preserve">Общие финансовые затраты из местного бюджета на реализацию подпрограммы составляют </w:t>
      </w:r>
      <w:r w:rsidR="00CB6540">
        <w:rPr>
          <w:sz w:val="28"/>
          <w:szCs w:val="28"/>
        </w:rPr>
        <w:t>321,4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095"/>
        <w:gridCol w:w="23"/>
        <w:gridCol w:w="4536"/>
      </w:tblGrid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  <w:p w:rsidR="00C432A2" w:rsidRPr="00C432A2" w:rsidRDefault="00C432A2" w:rsidP="00C432A2"/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0272D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9C206B">
              <w:rPr>
                <w:rFonts w:ascii="Times New Roman" w:hAnsi="Times New Roman" w:cs="Times New Roman"/>
              </w:rPr>
              <w:t>8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B6540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</w:t>
            </w:r>
            <w:r w:rsidR="009304E4">
              <w:rPr>
                <w:rFonts w:ascii="Times New Roman" w:hAnsi="Times New Roman" w:cs="Times New Roman"/>
              </w:rPr>
              <w:t>аспорядитель бюджетных средств а</w:t>
            </w:r>
            <w:r w:rsidRPr="00FB5793">
              <w:rPr>
                <w:rFonts w:ascii="Times New Roman" w:hAnsi="Times New Roman" w:cs="Times New Roman"/>
              </w:rPr>
              <w:t>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proofErr w:type="spellStart"/>
            <w:r w:rsidRPr="00FB5793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FB5793">
              <w:rPr>
                <w:rFonts w:ascii="Times New Roman" w:hAnsi="Times New Roman" w:cs="Times New Roman"/>
              </w:rPr>
              <w:t xml:space="preserve">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0272D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C432A2" w:rsidRPr="009F1F84" w:rsidRDefault="00C432A2" w:rsidP="00C432A2"/>
          <w:p w:rsidR="00C432A2" w:rsidRPr="009F1F84" w:rsidRDefault="00C432A2" w:rsidP="00C432A2"/>
          <w:p w:rsidR="00C432A2" w:rsidRPr="009F1F84" w:rsidRDefault="00C432A2" w:rsidP="00C432A2"/>
        </w:tc>
      </w:tr>
      <w:tr w:rsidR="00C432A2" w:rsidRPr="009F1F84" w:rsidTr="009C206B">
        <w:trPr>
          <w:gridAfter w:val="2"/>
          <w:wAfter w:w="4559" w:type="dxa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auto"/>
          </w:tcPr>
          <w:p w:rsidR="00C432A2" w:rsidRPr="009F1F84" w:rsidRDefault="00C432A2" w:rsidP="00C432A2">
            <w:pPr>
              <w:spacing w:after="0" w:line="240" w:lineRule="auto"/>
            </w:pPr>
            <w:r>
              <w:t>6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CB654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CB6540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FB57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EB17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B175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9C206B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EB17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EB175C" w:rsidRDefault="009C206B" w:rsidP="00EB175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EB175C">
              <w:rPr>
                <w:rFonts w:ascii="Times New Roman" w:hAnsi="Times New Roman" w:cs="Times New Roman"/>
              </w:rPr>
              <w:t xml:space="preserve"> </w:t>
            </w:r>
            <w:r w:rsidRPr="00EB175C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9C206B" w:rsidRPr="009F1F84" w:rsidTr="000272D0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CB654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9C206B" w:rsidRPr="009F1F84" w:rsidTr="000272D0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CB654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EB175C">
        <w:rPr>
          <w:sz w:val="28"/>
          <w:szCs w:val="28"/>
        </w:rPr>
        <w:t>321,4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51465"/>
    <w:rsid w:val="0006495D"/>
    <w:rsid w:val="000B694C"/>
    <w:rsid w:val="000D0A63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26180"/>
    <w:rsid w:val="0034024B"/>
    <w:rsid w:val="003453FE"/>
    <w:rsid w:val="00385727"/>
    <w:rsid w:val="0041366F"/>
    <w:rsid w:val="00450A72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B5C8B"/>
    <w:rsid w:val="008F3085"/>
    <w:rsid w:val="0092624E"/>
    <w:rsid w:val="009304E4"/>
    <w:rsid w:val="0095579B"/>
    <w:rsid w:val="0096301A"/>
    <w:rsid w:val="00991AA9"/>
    <w:rsid w:val="009C206B"/>
    <w:rsid w:val="009C5173"/>
    <w:rsid w:val="009D12EA"/>
    <w:rsid w:val="009D2391"/>
    <w:rsid w:val="009F1F84"/>
    <w:rsid w:val="00A16C53"/>
    <w:rsid w:val="00A21E49"/>
    <w:rsid w:val="00A3138B"/>
    <w:rsid w:val="00AA0C16"/>
    <w:rsid w:val="00B01825"/>
    <w:rsid w:val="00B15616"/>
    <w:rsid w:val="00B33476"/>
    <w:rsid w:val="00B9322A"/>
    <w:rsid w:val="00BF1120"/>
    <w:rsid w:val="00BF2481"/>
    <w:rsid w:val="00C432A2"/>
    <w:rsid w:val="00CB6540"/>
    <w:rsid w:val="00CD4A9B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EB175C"/>
    <w:rsid w:val="00F0411D"/>
    <w:rsid w:val="00F51199"/>
    <w:rsid w:val="00F51EDC"/>
    <w:rsid w:val="00F673F2"/>
    <w:rsid w:val="00F97148"/>
    <w:rsid w:val="00FA67F2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56CF-3656-46BB-9734-F15CE7BC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57</cp:revision>
  <cp:lastPrinted>2016-01-29T12:09:00Z</cp:lastPrinted>
  <dcterms:created xsi:type="dcterms:W3CDTF">2014-11-17T12:30:00Z</dcterms:created>
  <dcterms:modified xsi:type="dcterms:W3CDTF">2018-07-09T13:53:00Z</dcterms:modified>
</cp:coreProperties>
</file>