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CE0112" w:rsidRDefault="00CE0112" w:rsidP="00CE0112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769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97697">
        <w:rPr>
          <w:rFonts w:ascii="Times New Roman" w:hAnsi="Times New Roman" w:cs="Times New Roman"/>
          <w:sz w:val="28"/>
          <w:szCs w:val="28"/>
        </w:rPr>
        <w:t>__________</w:t>
      </w:r>
      <w:r w:rsidR="00153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56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0112" w:rsidRDefault="00CE0112" w:rsidP="00CE011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43146D" w:rsidRDefault="0043146D" w:rsidP="004314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10615">
        <w:rPr>
          <w:rFonts w:ascii="Times New Roman" w:eastAsia="Calibri" w:hAnsi="Times New Roman" w:cs="Times New Roman"/>
          <w:b/>
          <w:bCs/>
          <w:sz w:val="28"/>
          <w:szCs w:val="28"/>
        </w:rPr>
        <w:t>ценк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106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эффективности реализации </w:t>
      </w:r>
    </w:p>
    <w:p w:rsidR="002856BD" w:rsidRDefault="0043146D" w:rsidP="002856B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1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sub_1011"/>
      <w:bookmarkEnd w:id="0"/>
      <w:r w:rsidR="002856BD" w:rsidRPr="000B1864">
        <w:rPr>
          <w:rFonts w:ascii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организаций, осуществляющих деятельность на территории Вышестеблиевского сельского поселения Темрюкского района»</w:t>
      </w:r>
    </w:p>
    <w:p w:rsidR="002856BD" w:rsidRPr="00EE2485" w:rsidRDefault="002856BD" w:rsidP="002856B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91D" w:rsidRPr="00C35125" w:rsidRDefault="0043146D" w:rsidP="002856BD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3356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856BD" w:rsidRPr="002856BD">
        <w:rPr>
          <w:rFonts w:ascii="Times New Roman" w:hAnsi="Times New Roman" w:cs="Times New Roman"/>
          <w:sz w:val="28"/>
          <w:szCs w:val="28"/>
        </w:rPr>
        <w:t xml:space="preserve">«Поддержка социально ориентированных некоммерческих организаций, осуществляющих деятельность на территории Вышестеблиевского сельского поселения Темрюкского района» </w:t>
      </w:r>
      <w:r w:rsidR="00CE0112" w:rsidRPr="002856BD">
        <w:rPr>
          <w:rFonts w:ascii="Times New Roman" w:hAnsi="Times New Roman" w:cs="Times New Roman"/>
          <w:sz w:val="28"/>
          <w:szCs w:val="28"/>
        </w:rPr>
        <w:t>о</w:t>
      </w:r>
      <w:r w:rsidR="00CE0112">
        <w:rPr>
          <w:rFonts w:ascii="Times New Roman" w:hAnsi="Times New Roman" w:cs="Times New Roman"/>
          <w:sz w:val="28"/>
          <w:szCs w:val="28"/>
        </w:rPr>
        <w:t>существляется на основании методики оценки эффективности реализации муниципальной программы, утвержденной постановлением</w:t>
      </w:r>
      <w:r w:rsidR="008E3214">
        <w:rPr>
          <w:rFonts w:ascii="Times New Roman" w:hAnsi="Times New Roman" w:cs="Times New Roman"/>
          <w:sz w:val="28"/>
          <w:szCs w:val="28"/>
        </w:rPr>
        <w:t xml:space="preserve"> администрации Вышестеблиевского сельского поселения Темрюкского района от 4 октября 2017 года № 142 «</w:t>
      </w:r>
      <w:r w:rsidR="008E3214" w:rsidRPr="008E3214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</w:t>
      </w:r>
      <w:proofErr w:type="gramEnd"/>
      <w:r w:rsidR="008E3214" w:rsidRPr="008E3214">
        <w:rPr>
          <w:rFonts w:ascii="Times New Roman" w:hAnsi="Times New Roman" w:cs="Times New Roman"/>
          <w:sz w:val="28"/>
          <w:szCs w:val="28"/>
        </w:rPr>
        <w:t xml:space="preserve"> Темрюкского района».</w:t>
      </w:r>
      <w:r w:rsidR="008E3214" w:rsidRPr="00381AFE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  <w:bookmarkStart w:id="2" w:name="sub_1012"/>
      <w:bookmarkEnd w:id="1"/>
    </w:p>
    <w:bookmarkEnd w:id="2"/>
    <w:p w:rsidR="00EA4E02" w:rsidRDefault="0080091D" w:rsidP="002856BD">
      <w:pPr>
        <w:pStyle w:val="ac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49BB" w:rsidRPr="0080091D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степени реализации мероприятий подпрограмм</w:t>
      </w:r>
      <w:r w:rsidR="00EA4E02">
        <w:rPr>
          <w:rFonts w:ascii="Times New Roman" w:hAnsi="Times New Roman" w:cs="Times New Roman"/>
          <w:sz w:val="28"/>
          <w:szCs w:val="28"/>
        </w:rPr>
        <w:t>ы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(основных мероприятий)</w:t>
      </w:r>
      <w:r w:rsidR="00EA4E02">
        <w:rPr>
          <w:rFonts w:ascii="Times New Roman" w:hAnsi="Times New Roman" w:cs="Times New Roman"/>
          <w:sz w:val="28"/>
          <w:szCs w:val="28"/>
        </w:rPr>
        <w:t>.</w:t>
      </w:r>
      <w:r w:rsidR="004F49BB" w:rsidRPr="0080091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21"/>
    </w:p>
    <w:p w:rsidR="004F49BB" w:rsidRPr="0023356E" w:rsidRDefault="004F49BB" w:rsidP="002856BD">
      <w:pPr>
        <w:pStyle w:val="ac"/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bookmarkEnd w:id="3"/>
    <w:p w:rsidR="004F49BB" w:rsidRPr="0023356E" w:rsidRDefault="004F49BB" w:rsidP="002856B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FD1B48">
      <w:pPr>
        <w:spacing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;</w:t>
      </w:r>
    </w:p>
    <w:p w:rsidR="004F49BB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М</w:t>
      </w:r>
      <w:r w:rsidR="006A01A2">
        <w:rPr>
          <w:rFonts w:ascii="Times New Roman" w:hAnsi="Times New Roman" w:cs="Times New Roman"/>
          <w:sz w:val="28"/>
          <w:szCs w:val="28"/>
        </w:rPr>
        <w:t>п</w:t>
      </w:r>
      <w:r w:rsidRPr="0023356E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</w:t>
      </w:r>
      <w:r w:rsidR="006A01A2">
        <w:rPr>
          <w:rFonts w:ascii="Times New Roman" w:hAnsi="Times New Roman" w:cs="Times New Roman"/>
          <w:sz w:val="28"/>
          <w:szCs w:val="28"/>
        </w:rPr>
        <w:t>периоде</w:t>
      </w:r>
      <w:r w:rsidRPr="0023356E">
        <w:rPr>
          <w:rFonts w:ascii="Times New Roman" w:hAnsi="Times New Roman" w:cs="Times New Roman"/>
          <w:sz w:val="28"/>
          <w:szCs w:val="28"/>
        </w:rPr>
        <w:t>.</w:t>
      </w:r>
    </w:p>
    <w:p w:rsidR="006C2ACC" w:rsidRDefault="0043146D" w:rsidP="0043146D">
      <w:pPr>
        <w:spacing w:before="120" w:after="120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" w:name="sub_103"/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 w:rsidR="002856BD">
        <w:rPr>
          <w:rFonts w:ascii="Times New Roman" w:hAnsi="Times New Roman" w:cs="Times New Roman"/>
          <w:sz w:val="28"/>
          <w:szCs w:val="28"/>
        </w:rPr>
        <w:t>1</w:t>
      </w:r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 w:rsidR="002856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=1</w:t>
      </w: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соответствия запланированному уровню расходов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31"/>
      <w:bookmarkEnd w:id="4"/>
      <w:r w:rsidRPr="0023356E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  <w:bookmarkEnd w:id="5"/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4F49BB" w:rsidRPr="0023356E" w:rsidRDefault="004F49BB" w:rsidP="00EE4AD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lastRenderedPageBreak/>
        <w:t>Зф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подпрограммы (основного мероприятия) в отчетном году;</w:t>
      </w:r>
    </w:p>
    <w:p w:rsidR="004F49BB" w:rsidRDefault="004F49BB" w:rsidP="00CF334A">
      <w:pPr>
        <w:spacing w:after="24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(основного мероприятия) в соответствии с действующей на момент проведения оценки эффективности реализации редакцией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D1B48" w:rsidRDefault="0043146D" w:rsidP="0043146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" w:name="sub_104"/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15 =1</w:t>
      </w:r>
    </w:p>
    <w:p w:rsidR="004F49BB" w:rsidRPr="00153B5F" w:rsidRDefault="00EE4AD0" w:rsidP="00EE4AD0">
      <w:pPr>
        <w:pStyle w:val="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использования </w:t>
      </w:r>
      <w:r w:rsidR="003709A9" w:rsidRPr="00153B5F">
        <w:rPr>
          <w:rFonts w:ascii="Times New Roman" w:hAnsi="Times New Roman" w:cs="Times New Roman"/>
          <w:b w:val="0"/>
          <w:sz w:val="28"/>
          <w:szCs w:val="28"/>
        </w:rPr>
        <w:t>финансовых ресурсов</w:t>
      </w:r>
    </w:p>
    <w:bookmarkEnd w:id="6"/>
    <w:p w:rsidR="004F49BB" w:rsidRPr="0023356E" w:rsidRDefault="004F49BB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бюджетных средств рассчитывается для каждой подпрограммы (основного мероприятия) как отношение степени реализации мероприятий к степени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</w:t>
      </w:r>
      <w:r w:rsidR="003709A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3356E">
        <w:rPr>
          <w:rFonts w:ascii="Times New Roman" w:hAnsi="Times New Roman" w:cs="Times New Roman"/>
          <w:sz w:val="28"/>
          <w:szCs w:val="28"/>
        </w:rPr>
        <w:t>бюджета по следующей формуле:</w:t>
      </w:r>
    </w:p>
    <w:p w:rsidR="004F49BB" w:rsidRPr="0023356E" w:rsidRDefault="004F49BB" w:rsidP="00FD1B48">
      <w:pPr>
        <w:spacing w:before="120" w:after="120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="003709A9">
        <w:rPr>
          <w:rFonts w:ascii="Times New Roman" w:hAnsi="Times New Roman" w:cs="Times New Roman"/>
          <w:sz w:val="28"/>
          <w:szCs w:val="28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>бюджета.</w:t>
      </w:r>
    </w:p>
    <w:p w:rsidR="004F49BB" w:rsidRPr="0023356E" w:rsidRDefault="0043146D" w:rsidP="0043146D">
      <w:pPr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1 =1</w:t>
      </w:r>
    </w:p>
    <w:p w:rsidR="004F49BB" w:rsidRPr="00153B5F" w:rsidRDefault="000923FA" w:rsidP="000923F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05"/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степени достижения целей и решения задач подпрограммы </w:t>
      </w:r>
    </w:p>
    <w:p w:rsidR="004F49BB" w:rsidRPr="00153B5F" w:rsidRDefault="004F49BB" w:rsidP="000923FA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153B5F">
        <w:rPr>
          <w:rFonts w:ascii="Times New Roman" w:hAnsi="Times New Roman" w:cs="Times New Roman"/>
          <w:b w:val="0"/>
          <w:sz w:val="28"/>
          <w:szCs w:val="28"/>
        </w:rPr>
        <w:t>( основного мероприятия)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52"/>
      <w:bookmarkEnd w:id="7"/>
      <w:r w:rsidRPr="0023356E">
        <w:rPr>
          <w:rFonts w:ascii="Times New Roman" w:hAnsi="Times New Roman" w:cs="Times New Roman"/>
          <w:sz w:val="28"/>
          <w:szCs w:val="28"/>
        </w:rPr>
        <w:t>Степень достижения планового значения целевого показателя рассчитывается по следующим формулам:</w:t>
      </w:r>
    </w:p>
    <w:bookmarkEnd w:id="8"/>
    <w:p w:rsidR="004F49BB" w:rsidRPr="0023356E" w:rsidRDefault="000923FA" w:rsidP="00FD1B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9BB"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4F49BB" w:rsidRPr="0023356E" w:rsidRDefault="004F49BB" w:rsidP="00FD1B48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  <w:r w:rsidR="000923FA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Pr="0023356E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подпрограммы (основного мероприятия) фактически достигнутое на конец отчетного периода;</w:t>
      </w:r>
    </w:p>
    <w:p w:rsidR="004F49BB" w:rsidRDefault="004F49B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подпрограммы (основного мероприятия).</w:t>
      </w:r>
    </w:p>
    <w:p w:rsidR="00B56FD1" w:rsidRDefault="00B56FD1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3227"/>
        <w:gridCol w:w="1725"/>
        <w:gridCol w:w="1830"/>
        <w:gridCol w:w="1686"/>
      </w:tblGrid>
      <w:tr w:rsidR="0084756F" w:rsidTr="00F54E13">
        <w:tc>
          <w:tcPr>
            <w:tcW w:w="3227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84756F" w:rsidRPr="0023356E" w:rsidRDefault="0084756F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30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86" w:type="dxa"/>
          </w:tcPr>
          <w:p w:rsidR="0084756F" w:rsidRPr="0023356E" w:rsidRDefault="00B56FD1" w:rsidP="0017599B">
            <w:pPr>
              <w:pStyle w:val="1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СДп</w:t>
            </w:r>
            <w:proofErr w:type="spellEnd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3356E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  <w:proofErr w:type="spellEnd"/>
          </w:p>
        </w:tc>
      </w:tr>
      <w:tr w:rsidR="0084756F" w:rsidTr="00F54E13">
        <w:tc>
          <w:tcPr>
            <w:tcW w:w="3227" w:type="dxa"/>
          </w:tcPr>
          <w:p w:rsidR="0084756F" w:rsidRDefault="0084756F" w:rsidP="0043146D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Программа </w:t>
            </w:r>
          </w:p>
        </w:tc>
        <w:tc>
          <w:tcPr>
            <w:tcW w:w="1725" w:type="dxa"/>
          </w:tcPr>
          <w:p w:rsidR="0084756F" w:rsidRDefault="0043146D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1830" w:type="dxa"/>
          </w:tcPr>
          <w:p w:rsidR="0084756F" w:rsidRDefault="0043146D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  <w:tc>
          <w:tcPr>
            <w:tcW w:w="1686" w:type="dxa"/>
          </w:tcPr>
          <w:p w:rsidR="0084756F" w:rsidRDefault="00897697" w:rsidP="00B56FD1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</w:tbl>
    <w:p w:rsidR="000923FA" w:rsidRPr="0023356E" w:rsidRDefault="000923FA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7D0FEB" w:rsidP="000923F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53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F49BB" w:rsidRPr="0023356E">
        <w:rPr>
          <w:rFonts w:ascii="Times New Roman" w:hAnsi="Times New Roman" w:cs="Times New Roman"/>
          <w:sz w:val="28"/>
          <w:szCs w:val="28"/>
        </w:rPr>
        <w:t>Степень реализации подпрограммы (основного мероприятия) рассчитывается по формуле:</w:t>
      </w:r>
    </w:p>
    <w:bookmarkEnd w:id="9"/>
    <w:p w:rsidR="004F49BB" w:rsidRPr="0023356E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4F49BB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859280" cy="6858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N - число целевых показателей подпрограммы (основного мероприятия).</w:t>
      </w:r>
    </w:p>
    <w:p w:rsidR="007D0FEB" w:rsidRDefault="007D0FE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&gt;1,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9BB" w:rsidRPr="0023356E" w:rsidRDefault="0043146D" w:rsidP="0043146D">
      <w:pPr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Pr="002C420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C4209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2C420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2C42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3356E">
        <w:rPr>
          <w:rFonts w:ascii="Times New Roman" w:hAnsi="Times New Roman" w:cs="Times New Roman"/>
          <w:sz w:val="28"/>
          <w:szCs w:val="28"/>
        </w:rPr>
        <w:t xml:space="preserve">= </w:t>
      </w:r>
      <w:r w:rsidR="002856BD">
        <w:rPr>
          <w:rFonts w:ascii="Times New Roman" w:hAnsi="Times New Roman" w:cs="Times New Roman"/>
          <w:sz w:val="28"/>
          <w:szCs w:val="28"/>
        </w:rPr>
        <w:t>1</w:t>
      </w:r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r w:rsidR="002856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=1</w:t>
      </w:r>
    </w:p>
    <w:p w:rsidR="004F49BB" w:rsidRPr="00153B5F" w:rsidRDefault="00E025CD" w:rsidP="00E4569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106"/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2A3A1E">
        <w:rPr>
          <w:rFonts w:ascii="Times New Roman" w:hAnsi="Times New Roman" w:cs="Times New Roman"/>
          <w:b w:val="0"/>
          <w:sz w:val="28"/>
          <w:szCs w:val="28"/>
        </w:rPr>
        <w:t>)</w:t>
      </w:r>
      <w:r w:rsidR="004F49BB" w:rsidRPr="00153B5F">
        <w:rPr>
          <w:rFonts w:ascii="Times New Roman" w:hAnsi="Times New Roman" w:cs="Times New Roman"/>
          <w:b w:val="0"/>
          <w:sz w:val="28"/>
          <w:szCs w:val="28"/>
        </w:rPr>
        <w:t xml:space="preserve"> Оценка эффективности реализации подпрограммы (основного мероприятия)</w:t>
      </w:r>
    </w:p>
    <w:p w:rsidR="004F49BB" w:rsidRPr="0023356E" w:rsidRDefault="004F49BB" w:rsidP="007D0FE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61"/>
      <w:bookmarkEnd w:id="10"/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оценки эффективности использования средств </w:t>
      </w:r>
      <w:r w:rsidR="00E80A34"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по следующей формуле:</w:t>
      </w:r>
      <w:bookmarkEnd w:id="11"/>
    </w:p>
    <w:p w:rsidR="004F49BB" w:rsidRPr="0023356E" w:rsidRDefault="004F49BB" w:rsidP="007D0FEB">
      <w:pPr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4F49BB" w:rsidRPr="0023356E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 (основного мероприятия);</w:t>
      </w:r>
    </w:p>
    <w:p w:rsidR="004F49BB" w:rsidRDefault="004F49BB" w:rsidP="00E45695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координатора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- эффективность использования финансовых ресурсов на реализацию подпрограммы (основного мероприятия).</w:t>
      </w:r>
      <w:proofErr w:type="gramEnd"/>
    </w:p>
    <w:p w:rsidR="00E20D93" w:rsidRDefault="00E20D93" w:rsidP="00E20D93">
      <w:pPr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EA4E02">
        <w:rPr>
          <w:rFonts w:ascii="Times New Roman" w:hAnsi="Times New Roman" w:cs="Times New Roman"/>
          <w:b/>
          <w:sz w:val="28"/>
          <w:szCs w:val="28"/>
        </w:rPr>
        <w:t>Расчет:</w:t>
      </w:r>
      <w:r w:rsidRPr="000D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r w:rsidR="008976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*1 =1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средней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(основного мероприятия) признается удовлетворительной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E025CD" w:rsidRDefault="00E025CD" w:rsidP="00E025CD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(основного мероприятия) признается неудовлетворительной.</w:t>
      </w:r>
    </w:p>
    <w:p w:rsidR="00E025CD" w:rsidRPr="0023356E" w:rsidRDefault="00E025CD" w:rsidP="00E025CD">
      <w:pPr>
        <w:rPr>
          <w:rFonts w:ascii="Times New Roman" w:hAnsi="Times New Roman" w:cs="Times New Roman"/>
          <w:sz w:val="28"/>
          <w:szCs w:val="28"/>
        </w:rPr>
      </w:pPr>
    </w:p>
    <w:p w:rsidR="002C4209" w:rsidRDefault="00E025CD" w:rsidP="004F4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F6D74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программы</w:t>
      </w:r>
      <w:r w:rsidR="002143DE">
        <w:rPr>
          <w:rFonts w:ascii="Times New Roman" w:hAnsi="Times New Roman" w:cs="Times New Roman"/>
          <w:sz w:val="28"/>
          <w:szCs w:val="28"/>
        </w:rPr>
        <w:t>.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рассчитывается по следующим формулам: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lastRenderedPageBreak/>
        <w:t>для целевых показателей, желаемой тенденцией развития которых является увеличение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ЗПг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143DE" w:rsidRPr="0023356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фактически достигнутое на конец отчетного периода;</w:t>
      </w:r>
    </w:p>
    <w:p w:rsidR="002143DE" w:rsidRDefault="002143DE" w:rsidP="002143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ЗП</w:t>
      </w:r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27517">
        <w:rPr>
          <w:rFonts w:ascii="Times New Roman" w:hAnsi="Times New Roman" w:cs="Times New Roman"/>
          <w:sz w:val="28"/>
          <w:szCs w:val="28"/>
        </w:rPr>
        <w:t>.</w:t>
      </w:r>
    </w:p>
    <w:p w:rsidR="00227517" w:rsidRDefault="00227517" w:rsidP="002143DE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23356E">
        <w:rPr>
          <w:rFonts w:ascii="Times New Roman" w:hAnsi="Times New Roman" w:cs="Times New Roman"/>
          <w:sz w:val="28"/>
          <w:szCs w:val="28"/>
        </w:rPr>
        <w:t xml:space="preserve">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рассчитывается по формуле: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</w:p>
    <w:p w:rsidR="00227517" w:rsidRPr="0023356E" w:rsidRDefault="00227517" w:rsidP="00227517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6400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>, где: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СДгппз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27517" w:rsidRPr="0023356E" w:rsidRDefault="00227517" w:rsidP="00227517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М - число целевых показателей, характеризующих цели и задачи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227517" w:rsidRPr="0023356E" w:rsidRDefault="00227517" w:rsidP="002143DE">
      <w:pPr>
        <w:rPr>
          <w:rFonts w:ascii="Times New Roman" w:hAnsi="Times New Roman" w:cs="Times New Roman"/>
          <w:sz w:val="28"/>
          <w:szCs w:val="28"/>
        </w:rPr>
      </w:pPr>
    </w:p>
    <w:p w:rsidR="004F49BB" w:rsidRDefault="00227517" w:rsidP="00227517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227517">
        <w:rPr>
          <w:rFonts w:ascii="Times New Roman" w:hAnsi="Times New Roman" w:cs="Times New Roman"/>
          <w:b/>
          <w:sz w:val="28"/>
          <w:szCs w:val="28"/>
        </w:rPr>
        <w:t>Степень реализации муниципальной программы</w:t>
      </w:r>
    </w:p>
    <w:tbl>
      <w:tblPr>
        <w:tblStyle w:val="ae"/>
        <w:tblW w:w="0" w:type="auto"/>
        <w:tblLook w:val="04A0"/>
      </w:tblPr>
      <w:tblGrid>
        <w:gridCol w:w="3794"/>
      </w:tblGrid>
      <w:tr w:rsidR="00227517" w:rsidTr="00227517">
        <w:trPr>
          <w:trHeight w:val="827"/>
        </w:trPr>
        <w:tc>
          <w:tcPr>
            <w:tcW w:w="3794" w:type="dxa"/>
          </w:tcPr>
          <w:p w:rsidR="00227517" w:rsidRPr="00227517" w:rsidRDefault="00227517" w:rsidP="00615C2D">
            <w:pPr>
              <w:spacing w:before="24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517">
              <w:rPr>
                <w:rFonts w:ascii="Times New Roman" w:hAnsi="Times New Roman" w:cs="Times New Roman"/>
                <w:b/>
                <w:sz w:val="28"/>
                <w:szCs w:val="28"/>
              </w:rPr>
              <w:t>СРгп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</w:t>
            </w:r>
            <w:r w:rsidR="00615C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60E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15C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7EF3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4F6B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227517" w:rsidRPr="00227517" w:rsidRDefault="00227517" w:rsidP="004F49BB">
      <w:pPr>
        <w:rPr>
          <w:rFonts w:ascii="Times New Roman" w:hAnsi="Times New Roman" w:cs="Times New Roman"/>
          <w:b/>
          <w:sz w:val="28"/>
          <w:szCs w:val="28"/>
        </w:rPr>
      </w:pPr>
    </w:p>
    <w:p w:rsidR="00E45695" w:rsidRDefault="00EA7EF3" w:rsidP="00E456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53B5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оценивается в зависимости от значений оценки степени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и оценки эффективности реализации входящих в нее подпрограмм (основных мероприятий) по следующей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032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56E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СРгп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степень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3356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 (основного мероприятия);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(основного мероприятия) 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программы, определяемый в методике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ее координатором. По умолчанию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23356E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j-той подпрограммы (основного мероприятия) в отчетном году;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3356E">
        <w:rPr>
          <w:rFonts w:ascii="Times New Roman" w:hAnsi="Times New Roman" w:cs="Times New Roman"/>
          <w:sz w:val="28"/>
          <w:szCs w:val="28"/>
        </w:rPr>
        <w:t xml:space="preserve"> бюджета (кассового исполнения)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A7EF3" w:rsidRPr="0023356E" w:rsidRDefault="00EA7EF3" w:rsidP="00EA7E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356E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- количество подпрограмм (основных мероприятий).</w:t>
      </w:r>
    </w:p>
    <w:p w:rsidR="00EA7EF3" w:rsidRDefault="00EA7EF3" w:rsidP="00E45695">
      <w:pPr>
        <w:ind w:firstLine="0"/>
        <w:rPr>
          <w:rFonts w:ascii="Times New Roman" w:hAnsi="Times New Roman"/>
          <w:sz w:val="28"/>
          <w:szCs w:val="28"/>
        </w:rPr>
      </w:pPr>
    </w:p>
    <w:p w:rsidR="00EA7EF3" w:rsidRDefault="00EA7EF3" w:rsidP="00483ADA">
      <w:pPr>
        <w:spacing w:after="120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7EF3">
        <w:rPr>
          <w:rFonts w:ascii="Times New Roman" w:hAnsi="Times New Roman" w:cs="Times New Roman"/>
          <w:b/>
          <w:sz w:val="28"/>
          <w:szCs w:val="28"/>
        </w:rPr>
        <w:t>ЭРгп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=0,5*</w:t>
      </w:r>
      <w:r w:rsidR="004F6B4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+0,5*</w:t>
      </w:r>
      <w:r w:rsidR="004F6B44">
        <w:rPr>
          <w:rFonts w:ascii="Times New Roman" w:hAnsi="Times New Roman" w:cs="Times New Roman"/>
          <w:b/>
          <w:sz w:val="28"/>
          <w:szCs w:val="28"/>
        </w:rPr>
        <w:t>(</w:t>
      </w:r>
      <w:r w:rsidR="00E20D93">
        <w:rPr>
          <w:rFonts w:ascii="Times New Roman" w:hAnsi="Times New Roman" w:cs="Times New Roman"/>
          <w:b/>
          <w:sz w:val="28"/>
          <w:szCs w:val="28"/>
        </w:rPr>
        <w:t>1</w:t>
      </w:r>
      <w:r w:rsidR="004F6B44">
        <w:rPr>
          <w:rFonts w:ascii="Times New Roman" w:hAnsi="Times New Roman" w:cs="Times New Roman"/>
          <w:b/>
          <w:sz w:val="28"/>
          <w:szCs w:val="28"/>
        </w:rPr>
        <w:t>)</w:t>
      </w:r>
      <w:r w:rsidR="00E20D93">
        <w:rPr>
          <w:rFonts w:ascii="Times New Roman" w:hAnsi="Times New Roman" w:cs="Times New Roman"/>
          <w:b/>
          <w:sz w:val="28"/>
          <w:szCs w:val="28"/>
        </w:rPr>
        <w:t>*</w:t>
      </w:r>
      <w:r w:rsidR="00DF5A03">
        <w:rPr>
          <w:rFonts w:ascii="Times New Roman" w:hAnsi="Times New Roman" w:cs="Times New Roman"/>
          <w:b/>
          <w:sz w:val="28"/>
          <w:szCs w:val="28"/>
        </w:rPr>
        <w:t>1/</w:t>
      </w:r>
      <w:r w:rsidR="00A95A81">
        <w:rPr>
          <w:rFonts w:ascii="Times New Roman" w:hAnsi="Times New Roman" w:cs="Times New Roman"/>
          <w:b/>
          <w:sz w:val="28"/>
          <w:szCs w:val="28"/>
        </w:rPr>
        <w:t>1</w:t>
      </w:r>
      <w:r w:rsidR="00DF5A03">
        <w:rPr>
          <w:rFonts w:ascii="Times New Roman" w:hAnsi="Times New Roman" w:cs="Times New Roman"/>
          <w:b/>
          <w:sz w:val="28"/>
          <w:szCs w:val="28"/>
        </w:rPr>
        <w:t>=</w:t>
      </w:r>
      <w:r w:rsidR="00484EDC">
        <w:rPr>
          <w:rFonts w:ascii="Times New Roman" w:hAnsi="Times New Roman" w:cs="Times New Roman"/>
          <w:b/>
          <w:sz w:val="28"/>
          <w:szCs w:val="28"/>
        </w:rPr>
        <w:t>0,</w:t>
      </w:r>
      <w:r w:rsidR="004F6B44">
        <w:rPr>
          <w:rFonts w:ascii="Times New Roman" w:hAnsi="Times New Roman" w:cs="Times New Roman"/>
          <w:b/>
          <w:sz w:val="28"/>
          <w:szCs w:val="28"/>
        </w:rPr>
        <w:t>5</w:t>
      </w:r>
      <w:r w:rsidR="00484EDC">
        <w:rPr>
          <w:rFonts w:ascii="Times New Roman" w:hAnsi="Times New Roman" w:cs="Times New Roman"/>
          <w:b/>
          <w:sz w:val="28"/>
          <w:szCs w:val="28"/>
        </w:rPr>
        <w:t>+</w:t>
      </w:r>
      <w:r w:rsidR="005E5AF5">
        <w:rPr>
          <w:rFonts w:ascii="Times New Roman" w:hAnsi="Times New Roman" w:cs="Times New Roman"/>
          <w:b/>
          <w:sz w:val="28"/>
          <w:szCs w:val="28"/>
        </w:rPr>
        <w:t>0,</w:t>
      </w:r>
      <w:r w:rsidR="00E20D93">
        <w:rPr>
          <w:rFonts w:ascii="Times New Roman" w:hAnsi="Times New Roman" w:cs="Times New Roman"/>
          <w:b/>
          <w:sz w:val="28"/>
          <w:szCs w:val="28"/>
        </w:rPr>
        <w:t>5</w:t>
      </w:r>
      <w:r w:rsidR="00786C11">
        <w:rPr>
          <w:rFonts w:ascii="Times New Roman" w:hAnsi="Times New Roman" w:cs="Times New Roman"/>
          <w:b/>
          <w:sz w:val="28"/>
          <w:szCs w:val="28"/>
        </w:rPr>
        <w:t>=</w:t>
      </w:r>
      <w:r w:rsidR="004F6B44">
        <w:rPr>
          <w:rFonts w:ascii="Times New Roman" w:hAnsi="Times New Roman" w:cs="Times New Roman"/>
          <w:b/>
          <w:sz w:val="28"/>
          <w:szCs w:val="28"/>
        </w:rPr>
        <w:t>1</w:t>
      </w:r>
    </w:p>
    <w:p w:rsidR="00483ADA" w:rsidRPr="0023356E" w:rsidRDefault="00483ADA" w:rsidP="00483ADA">
      <w:pPr>
        <w:rPr>
          <w:rFonts w:ascii="Times New Roman" w:hAnsi="Times New Roman" w:cs="Times New Roman"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6E">
        <w:rPr>
          <w:rFonts w:ascii="Times New Roman" w:hAnsi="Times New Roman" w:cs="Times New Roman"/>
          <w:sz w:val="28"/>
          <w:szCs w:val="28"/>
        </w:rPr>
        <w:t xml:space="preserve"> программы признается высокой в случае, если значение </w:t>
      </w:r>
      <w:proofErr w:type="spellStart"/>
      <w:r w:rsidRPr="0023356E">
        <w:rPr>
          <w:rFonts w:ascii="Times New Roman" w:hAnsi="Times New Roman" w:cs="Times New Roman"/>
          <w:sz w:val="28"/>
          <w:szCs w:val="28"/>
        </w:rPr>
        <w:t>ЭРгп</w:t>
      </w:r>
      <w:proofErr w:type="spellEnd"/>
      <w:r w:rsidRPr="0023356E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483ADA" w:rsidRDefault="00483ADA" w:rsidP="00E45695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7118AA" w:rsidRPr="007853D5" w:rsidRDefault="007118AA" w:rsidP="00A95A81">
      <w:pPr>
        <w:ind w:firstLine="709"/>
        <w:rPr>
          <w:rFonts w:ascii="Times New Roman" w:hAnsi="Times New Roman"/>
          <w:b/>
          <w:sz w:val="28"/>
          <w:szCs w:val="28"/>
        </w:rPr>
      </w:pPr>
      <w:r w:rsidRPr="0023356E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3D5" w:rsidRPr="0023356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853D5" w:rsidRPr="002564D1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95A81" w:rsidRPr="002856BD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осуществляющих деятельность на территории Вышестеблиевского сельского поселения Темрюкского района»</w:t>
      </w:r>
      <w:r w:rsidR="004F6B44" w:rsidRPr="004F6B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3D5" w:rsidRPr="004F6B44">
        <w:rPr>
          <w:rFonts w:ascii="Times New Roman" w:hAnsi="Times New Roman"/>
          <w:sz w:val="28"/>
          <w:szCs w:val="28"/>
        </w:rPr>
        <w:t>п</w:t>
      </w:r>
      <w:r w:rsidR="007853D5">
        <w:rPr>
          <w:rFonts w:ascii="Times New Roman" w:hAnsi="Times New Roman"/>
          <w:sz w:val="28"/>
          <w:szCs w:val="28"/>
        </w:rPr>
        <w:t xml:space="preserve">ризнана </w:t>
      </w:r>
      <w:r w:rsidR="007853D5">
        <w:rPr>
          <w:rFonts w:ascii="Times New Roman" w:hAnsi="Times New Roman"/>
          <w:b/>
          <w:sz w:val="28"/>
          <w:szCs w:val="28"/>
        </w:rPr>
        <w:t>высокой.</w:t>
      </w: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7853D5" w:rsidRDefault="007853D5" w:rsidP="007853D5">
      <w:pPr>
        <w:pStyle w:val="af"/>
        <w:ind w:right="-82"/>
        <w:jc w:val="both"/>
        <w:rPr>
          <w:rFonts w:cs="Arial"/>
          <w:szCs w:val="28"/>
        </w:rPr>
      </w:pPr>
    </w:p>
    <w:p w:rsidR="007853D5" w:rsidRPr="0053735A" w:rsidRDefault="007853D5" w:rsidP="00A95A81">
      <w:pPr>
        <w:pStyle w:val="af"/>
        <w:ind w:right="-82"/>
        <w:jc w:val="both"/>
        <w:rPr>
          <w:szCs w:val="28"/>
        </w:rPr>
      </w:pPr>
      <w:r>
        <w:rPr>
          <w:szCs w:val="28"/>
        </w:rPr>
        <w:t xml:space="preserve">Начальник </w:t>
      </w:r>
      <w:r w:rsidRPr="0053735A">
        <w:rPr>
          <w:szCs w:val="28"/>
        </w:rPr>
        <w:t>финансового отдела</w:t>
      </w:r>
      <w:r w:rsidR="00A95A81">
        <w:rPr>
          <w:szCs w:val="28"/>
        </w:rPr>
        <w:t xml:space="preserve">                              </w:t>
      </w:r>
      <w:r w:rsidR="00A60020">
        <w:rPr>
          <w:szCs w:val="28"/>
        </w:rPr>
        <w:t xml:space="preserve">            </w:t>
      </w:r>
      <w:r w:rsidR="00A95A81">
        <w:rPr>
          <w:szCs w:val="28"/>
        </w:rPr>
        <w:t xml:space="preserve">     </w:t>
      </w:r>
      <w:r w:rsidR="00A60020">
        <w:rPr>
          <w:szCs w:val="28"/>
        </w:rPr>
        <w:t xml:space="preserve">         </w:t>
      </w:r>
      <w:r>
        <w:rPr>
          <w:szCs w:val="28"/>
        </w:rPr>
        <w:t>А</w:t>
      </w:r>
      <w:r w:rsidRPr="0053735A">
        <w:rPr>
          <w:szCs w:val="28"/>
        </w:rPr>
        <w:t>.</w:t>
      </w:r>
      <w:r w:rsidR="00A95A81">
        <w:rPr>
          <w:szCs w:val="28"/>
        </w:rPr>
        <w:t xml:space="preserve">В. </w:t>
      </w:r>
      <w:proofErr w:type="spellStart"/>
      <w:r w:rsidR="00A95A81">
        <w:rPr>
          <w:szCs w:val="28"/>
        </w:rPr>
        <w:t>Нечай</w:t>
      </w:r>
      <w:proofErr w:type="spellEnd"/>
    </w:p>
    <w:p w:rsidR="004F49BB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4F49BB" w:rsidRDefault="004F49BB" w:rsidP="004F49BB">
      <w:pPr>
        <w:rPr>
          <w:rFonts w:ascii="Times New Roman" w:hAnsi="Times New Roman" w:cs="Times New Roman"/>
          <w:sz w:val="28"/>
          <w:szCs w:val="28"/>
        </w:rPr>
      </w:pPr>
    </w:p>
    <w:p w:rsidR="00A32F69" w:rsidRDefault="00A32F69"/>
    <w:sectPr w:rsidR="00A32F69" w:rsidSect="008201D9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1C2" w:rsidRDefault="00B971C2" w:rsidP="004F49BB">
      <w:r>
        <w:separator/>
      </w:r>
    </w:p>
  </w:endnote>
  <w:endnote w:type="continuationSeparator" w:id="0">
    <w:p w:rsidR="00B971C2" w:rsidRDefault="00B971C2" w:rsidP="004F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1C2" w:rsidRDefault="00B971C2" w:rsidP="004F49BB">
      <w:r>
        <w:separator/>
      </w:r>
    </w:p>
  </w:footnote>
  <w:footnote w:type="continuationSeparator" w:id="0">
    <w:p w:rsidR="00B971C2" w:rsidRDefault="00B971C2" w:rsidP="004F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13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468B" w:rsidRPr="004F49BB" w:rsidRDefault="00296F15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F4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468B" w:rsidRPr="004F4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5A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F4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468B" w:rsidRDefault="009046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68B" w:rsidRDefault="0090468B">
    <w:pPr>
      <w:pStyle w:val="a8"/>
      <w:jc w:val="center"/>
    </w:pPr>
  </w:p>
  <w:p w:rsidR="0090468B" w:rsidRDefault="009046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1B3"/>
    <w:multiLevelType w:val="hybridMultilevel"/>
    <w:tmpl w:val="14765C24"/>
    <w:lvl w:ilvl="0" w:tplc="C3B0DB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9BB"/>
    <w:rsid w:val="000256CD"/>
    <w:rsid w:val="00086D4D"/>
    <w:rsid w:val="000923FA"/>
    <w:rsid w:val="000A76D5"/>
    <w:rsid w:val="000D2195"/>
    <w:rsid w:val="000D4973"/>
    <w:rsid w:val="0010703C"/>
    <w:rsid w:val="001107C7"/>
    <w:rsid w:val="00153B5F"/>
    <w:rsid w:val="00153C4C"/>
    <w:rsid w:val="00153F1E"/>
    <w:rsid w:val="001704D4"/>
    <w:rsid w:val="002143DE"/>
    <w:rsid w:val="00227517"/>
    <w:rsid w:val="00232FDB"/>
    <w:rsid w:val="00236CF0"/>
    <w:rsid w:val="002564D1"/>
    <w:rsid w:val="00262F26"/>
    <w:rsid w:val="002856BD"/>
    <w:rsid w:val="00296F15"/>
    <w:rsid w:val="002A3A1E"/>
    <w:rsid w:val="002A5882"/>
    <w:rsid w:val="002C4209"/>
    <w:rsid w:val="002F209A"/>
    <w:rsid w:val="00354774"/>
    <w:rsid w:val="003709A9"/>
    <w:rsid w:val="00386868"/>
    <w:rsid w:val="003A79F7"/>
    <w:rsid w:val="004127FA"/>
    <w:rsid w:val="00416F86"/>
    <w:rsid w:val="0043146D"/>
    <w:rsid w:val="00440897"/>
    <w:rsid w:val="00444481"/>
    <w:rsid w:val="00483ADA"/>
    <w:rsid w:val="00484EDC"/>
    <w:rsid w:val="004B1685"/>
    <w:rsid w:val="004D774C"/>
    <w:rsid w:val="004E0DE2"/>
    <w:rsid w:val="004F49BB"/>
    <w:rsid w:val="004F6B44"/>
    <w:rsid w:val="004F6D74"/>
    <w:rsid w:val="00513A98"/>
    <w:rsid w:val="00522FD4"/>
    <w:rsid w:val="005561BF"/>
    <w:rsid w:val="00595AB5"/>
    <w:rsid w:val="005B3AB8"/>
    <w:rsid w:val="005B66DF"/>
    <w:rsid w:val="005E5AF5"/>
    <w:rsid w:val="005F6DE2"/>
    <w:rsid w:val="00601E0C"/>
    <w:rsid w:val="00615C2D"/>
    <w:rsid w:val="0063658F"/>
    <w:rsid w:val="00667441"/>
    <w:rsid w:val="00687E67"/>
    <w:rsid w:val="006A01A2"/>
    <w:rsid w:val="006A3157"/>
    <w:rsid w:val="006C2ACC"/>
    <w:rsid w:val="007118AA"/>
    <w:rsid w:val="00772443"/>
    <w:rsid w:val="007853D5"/>
    <w:rsid w:val="00786C11"/>
    <w:rsid w:val="007D0FEB"/>
    <w:rsid w:val="0080091D"/>
    <w:rsid w:val="008201D9"/>
    <w:rsid w:val="008220D5"/>
    <w:rsid w:val="00832DA6"/>
    <w:rsid w:val="0084756F"/>
    <w:rsid w:val="008703CA"/>
    <w:rsid w:val="008749D1"/>
    <w:rsid w:val="00891C7B"/>
    <w:rsid w:val="00897697"/>
    <w:rsid w:val="008E3214"/>
    <w:rsid w:val="008F2229"/>
    <w:rsid w:val="0090468B"/>
    <w:rsid w:val="00906960"/>
    <w:rsid w:val="009211AF"/>
    <w:rsid w:val="0098078E"/>
    <w:rsid w:val="00993A06"/>
    <w:rsid w:val="00A265C1"/>
    <w:rsid w:val="00A32F69"/>
    <w:rsid w:val="00A37128"/>
    <w:rsid w:val="00A42783"/>
    <w:rsid w:val="00A52E54"/>
    <w:rsid w:val="00A60020"/>
    <w:rsid w:val="00A71B2E"/>
    <w:rsid w:val="00A95A81"/>
    <w:rsid w:val="00AE5064"/>
    <w:rsid w:val="00B2079D"/>
    <w:rsid w:val="00B55C3E"/>
    <w:rsid w:val="00B56FD1"/>
    <w:rsid w:val="00B57465"/>
    <w:rsid w:val="00B716A6"/>
    <w:rsid w:val="00B739BD"/>
    <w:rsid w:val="00B82C2D"/>
    <w:rsid w:val="00B971C2"/>
    <w:rsid w:val="00BD7F0C"/>
    <w:rsid w:val="00C35125"/>
    <w:rsid w:val="00C60E2A"/>
    <w:rsid w:val="00C60ED5"/>
    <w:rsid w:val="00C753BC"/>
    <w:rsid w:val="00C90BBA"/>
    <w:rsid w:val="00CE0112"/>
    <w:rsid w:val="00CF3284"/>
    <w:rsid w:val="00CF334A"/>
    <w:rsid w:val="00D1537B"/>
    <w:rsid w:val="00DF5A03"/>
    <w:rsid w:val="00E025CD"/>
    <w:rsid w:val="00E20D93"/>
    <w:rsid w:val="00E45695"/>
    <w:rsid w:val="00E54E29"/>
    <w:rsid w:val="00E61E48"/>
    <w:rsid w:val="00E6623F"/>
    <w:rsid w:val="00E80A34"/>
    <w:rsid w:val="00E92805"/>
    <w:rsid w:val="00EA4E02"/>
    <w:rsid w:val="00EA7EF3"/>
    <w:rsid w:val="00EC04B2"/>
    <w:rsid w:val="00ED3BA2"/>
    <w:rsid w:val="00EE251E"/>
    <w:rsid w:val="00EE4AD0"/>
    <w:rsid w:val="00EF5063"/>
    <w:rsid w:val="00F15131"/>
    <w:rsid w:val="00F54E13"/>
    <w:rsid w:val="00F83F14"/>
    <w:rsid w:val="00FD1B48"/>
    <w:rsid w:val="00FE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091D"/>
    <w:pPr>
      <w:ind w:left="720"/>
      <w:contextualSpacing/>
    </w:pPr>
  </w:style>
  <w:style w:type="character" w:customStyle="1" w:styleId="ad">
    <w:name w:val="Гипертекстовая ссылка"/>
    <w:rsid w:val="008220D5"/>
    <w:rPr>
      <w:b/>
      <w:bCs/>
      <w:color w:val="106BBE"/>
    </w:rPr>
  </w:style>
  <w:style w:type="paragraph" w:customStyle="1" w:styleId="ConsPlusTitle">
    <w:name w:val="ConsPlusTitle"/>
    <w:rsid w:val="00822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ED3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853D5"/>
    <w:pPr>
      <w:widowControl/>
      <w:autoSpaceDE/>
      <w:autoSpaceDN/>
      <w:adjustRightInd/>
      <w:ind w:right="-1192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785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rsid w:val="002856BD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2856B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4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4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F49BB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4F49B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4F49BB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4F4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9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9BB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1</cp:lastModifiedBy>
  <cp:revision>73</cp:revision>
  <cp:lastPrinted>2020-03-24T08:17:00Z</cp:lastPrinted>
  <dcterms:created xsi:type="dcterms:W3CDTF">2014-07-17T06:34:00Z</dcterms:created>
  <dcterms:modified xsi:type="dcterms:W3CDTF">2022-02-15T06:03:00Z</dcterms:modified>
</cp:coreProperties>
</file>