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481925" w:rsidRDefault="00B16C73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Pr="00260912">
        <w:rPr>
          <w:rFonts w:ascii="Times New Roman" w:hAnsi="Times New Roman" w:cs="Times New Roman"/>
          <w:sz w:val="28"/>
          <w:szCs w:val="28"/>
        </w:rPr>
      </w:r>
      <w:r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                              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сельском поселении</w:t>
      </w:r>
      <w:r w:rsidRPr="009927A6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9927A6">
        <w:rPr>
          <w:rStyle w:val="a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643"/>
        <w:gridCol w:w="4928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защиты прав и законных интересов жителей Вышестеблиевсого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организация антикоррупционного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7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5 год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организация антикоррупционного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формирование антикоррупционного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2015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900"/>
        <w:gridCol w:w="1080"/>
        <w:gridCol w:w="1080"/>
      </w:tblGrid>
      <w:tr w:rsidR="00B16C73" w:rsidRPr="008E77A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B16C73" w:rsidRPr="008E77A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2015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на: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Heading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подпрограммы, составляет 30</w:t>
      </w:r>
      <w:r w:rsidRPr="00481925">
        <w:rPr>
          <w:rFonts w:ascii="Times New Roman" w:hAnsi="Times New Roman" w:cs="Times New Roman"/>
          <w:sz w:val="28"/>
          <w:szCs w:val="28"/>
        </w:rPr>
        <w:t>,0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81925">
        <w:rPr>
          <w:rFonts w:ascii="Times New Roman" w:hAnsi="Times New Roman" w:cs="Times New Roman"/>
          <w:sz w:val="28"/>
          <w:szCs w:val="28"/>
        </w:rPr>
        <w:t>,0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6"/>
        <w:gridCol w:w="2211"/>
        <w:gridCol w:w="1125"/>
        <w:gridCol w:w="1469"/>
        <w:gridCol w:w="1260"/>
      </w:tblGrid>
      <w:tr w:rsidR="00B16C73" w:rsidRPr="008E77AE">
        <w:tc>
          <w:tcPr>
            <w:tcW w:w="372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07" w:type="dxa"/>
            <w:gridSpan w:val="3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B16C73" w:rsidRPr="008E77AE">
        <w:tc>
          <w:tcPr>
            <w:tcW w:w="3721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629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372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B16C73" w:rsidRPr="008E77AE">
        <w:tc>
          <w:tcPr>
            <w:tcW w:w="3721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0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629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72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BodyText"/>
        <w:ind w:right="-141"/>
        <w:jc w:val="both"/>
      </w:pPr>
    </w:p>
    <w:p w:rsidR="00B16C73" w:rsidRPr="00481925" w:rsidRDefault="00B16C73" w:rsidP="00481925">
      <w:pPr>
        <w:pStyle w:val="BodyText"/>
        <w:ind w:right="-141"/>
        <w:jc w:val="both"/>
      </w:pPr>
    </w:p>
    <w:p w:rsidR="00B16C73" w:rsidRPr="00250BFF" w:rsidRDefault="00B16C73" w:rsidP="00481925">
      <w:pPr>
        <w:pStyle w:val="BodyText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</w:p>
    <w:p w:rsidR="00B16C73" w:rsidRPr="00250BFF" w:rsidRDefault="00B16C73" w:rsidP="00481925">
      <w:pPr>
        <w:pStyle w:val="BodyText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 сельского поселения </w:t>
      </w:r>
    </w:p>
    <w:p w:rsidR="00B16C73" w:rsidRPr="00250BFF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F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50BFF">
        <w:rPr>
          <w:rFonts w:ascii="Times New Roman" w:hAnsi="Times New Roman" w:cs="Times New Roman"/>
          <w:sz w:val="28"/>
          <w:szCs w:val="28"/>
        </w:rPr>
        <w:t xml:space="preserve">П.К.Хаджиди                             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D088D"/>
    <w:rsid w:val="00111C57"/>
    <w:rsid w:val="00185E5F"/>
    <w:rsid w:val="002479F3"/>
    <w:rsid w:val="00250BFF"/>
    <w:rsid w:val="00260912"/>
    <w:rsid w:val="002A6B13"/>
    <w:rsid w:val="003B028A"/>
    <w:rsid w:val="004047A7"/>
    <w:rsid w:val="00481925"/>
    <w:rsid w:val="005127E2"/>
    <w:rsid w:val="00586016"/>
    <w:rsid w:val="006D736D"/>
    <w:rsid w:val="007F4194"/>
    <w:rsid w:val="0081438D"/>
    <w:rsid w:val="00847EC1"/>
    <w:rsid w:val="008A1638"/>
    <w:rsid w:val="008E77AE"/>
    <w:rsid w:val="009927A6"/>
    <w:rsid w:val="00A85298"/>
    <w:rsid w:val="00B16C73"/>
    <w:rsid w:val="00B331F1"/>
    <w:rsid w:val="00BC66A0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EC1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1">
    <w:name w:val="Прижатый влево"/>
    <w:basedOn w:val="Normal"/>
    <w:next w:val="Normal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6</Pages>
  <Words>1458</Words>
  <Characters>8316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15</cp:revision>
  <cp:lastPrinted>2014-12-05T12:08:00Z</cp:lastPrinted>
  <dcterms:created xsi:type="dcterms:W3CDTF">2014-11-28T06:54:00Z</dcterms:created>
  <dcterms:modified xsi:type="dcterms:W3CDTF">2014-12-05T12:12:00Z</dcterms:modified>
</cp:coreProperties>
</file>