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FE4C3B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5535E3">
              <w:rPr>
                <w:color w:val="000000"/>
                <w:sz w:val="28"/>
                <w:szCs w:val="28"/>
                <w:lang w:eastAsia="ru-RU"/>
              </w:rPr>
              <w:t>100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5535E3">
      <w:pPr>
        <w:ind w:firstLine="708"/>
        <w:jc w:val="both"/>
        <w:rPr>
          <w:sz w:val="28"/>
          <w:szCs w:val="28"/>
        </w:rPr>
      </w:pPr>
    </w:p>
    <w:p w:rsidR="005535E3" w:rsidRDefault="005535E3" w:rsidP="005535E3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5535E3"/>
    <w:p w:rsidR="005535E3" w:rsidRDefault="005535E3" w:rsidP="005535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942" w:type="dxa"/>
        <w:tblInd w:w="-9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1486"/>
        <w:gridCol w:w="176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5535E3">
        <w:trPr>
          <w:trHeight w:val="1193"/>
        </w:trPr>
        <w:tc>
          <w:tcPr>
            <w:tcW w:w="1486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5535E3">
        <w:tc>
          <w:tcPr>
            <w:tcW w:w="1486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E4C3B" w:rsidRPr="00FC1A68" w:rsidTr="005535E3">
        <w:tc>
          <w:tcPr>
            <w:tcW w:w="148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5535E3">
        <w:tc>
          <w:tcPr>
            <w:tcW w:w="148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5535E3">
        <w:tc>
          <w:tcPr>
            <w:tcW w:w="148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FE4C3B" w:rsidTr="005535E3">
        <w:tc>
          <w:tcPr>
            <w:tcW w:w="148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Default="00FE4C3B" w:rsidP="00FC1A68">
            <w:pPr>
              <w:ind w:left="-82" w:right="-68" w:hanging="360"/>
            </w:pPr>
            <w:r>
              <w:t>Об  Участие в мероприятиях праздничных дней и памятных дат в поселении</w:t>
            </w:r>
          </w:p>
          <w:p w:rsidR="00FE4C3B" w:rsidRDefault="00FE4C3B" w:rsidP="008A0D0B">
            <w:pPr>
              <w:ind w:left="-45" w:right="-129" w:hanging="3"/>
            </w:pPr>
          </w:p>
          <w:p w:rsidR="00FE4C3B" w:rsidRDefault="00FE4C3B">
            <w:pPr>
              <w:ind w:left="-82" w:right="-68" w:hanging="360"/>
            </w:pPr>
            <w:r>
              <w:t>20</w:t>
            </w:r>
          </w:p>
          <w:p w:rsidR="00FE4C3B" w:rsidRDefault="00FE4C3B">
            <w:pPr>
              <w:ind w:left="-82" w:right="-68" w:hanging="360"/>
            </w:pPr>
          </w:p>
          <w:p w:rsidR="00FE4C3B" w:rsidRDefault="00FE4C3B">
            <w:pPr>
              <w:ind w:left="-82" w:right="-68" w:hanging="360"/>
            </w:pPr>
          </w:p>
          <w:p w:rsidR="00FE4C3B" w:rsidRPr="008A0D0B" w:rsidRDefault="00FE4C3B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E4C3B">
            <w:pPr>
              <w:jc w:val="center"/>
            </w:pPr>
            <w:r>
              <w:t>1</w:t>
            </w:r>
            <w:r w:rsidR="009A13B3">
              <w:t>00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</w:t>
            </w:r>
            <w:r w:rsidR="009A13B3">
              <w:t>00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5535E3">
        <w:trPr>
          <w:trHeight w:val="873"/>
        </w:trPr>
        <w:tc>
          <w:tcPr>
            <w:tcW w:w="148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5535E3">
      <w:pPr>
        <w:jc w:val="both"/>
        <w:rPr>
          <w:sz w:val="28"/>
          <w:szCs w:val="28"/>
        </w:rPr>
        <w:sectPr w:rsidR="00E976BE" w:rsidSect="005535E3">
          <w:headerReference w:type="default" r:id="rId8"/>
          <w:pgSz w:w="16838" w:h="11906" w:orient="landscape"/>
          <w:pgMar w:top="0" w:right="567" w:bottom="1418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57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</w:tblGrid>
      <w:tr w:rsidR="00FE4C3B" w:rsidTr="00FE4C3B">
        <w:tc>
          <w:tcPr>
            <w:tcW w:w="493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FE4C3B" w:rsidRDefault="005535E3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г.</w:t>
            </w:r>
          </w:p>
        </w:tc>
      </w:tr>
      <w:tr w:rsidR="00FE4C3B" w:rsidTr="00FE4C3B">
        <w:tc>
          <w:tcPr>
            <w:tcW w:w="493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9A13B3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 w:rsidP="000E035D">
            <w:pPr>
              <w:jc w:val="center"/>
            </w:pPr>
            <w:r>
              <w:t>1</w:t>
            </w:r>
            <w:r w:rsidR="005535E3">
              <w:t>00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7F" w:rsidRDefault="00804B7F" w:rsidP="00E43D15">
      <w:r>
        <w:separator/>
      </w:r>
    </w:p>
  </w:endnote>
  <w:endnote w:type="continuationSeparator" w:id="0">
    <w:p w:rsidR="00804B7F" w:rsidRDefault="00804B7F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7F" w:rsidRDefault="00804B7F" w:rsidP="00E43D15">
      <w:r>
        <w:separator/>
      </w:r>
    </w:p>
  </w:footnote>
  <w:footnote w:type="continuationSeparator" w:id="0">
    <w:p w:rsidR="00804B7F" w:rsidRDefault="00804B7F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87371">
    <w:pPr>
      <w:pStyle w:val="af3"/>
      <w:jc w:val="center"/>
    </w:pPr>
    <w:fldSimple w:instr="PAGE">
      <w:r w:rsidR="009A13B3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87371">
    <w:pPr>
      <w:pStyle w:val="af3"/>
      <w:jc w:val="center"/>
    </w:pPr>
    <w:fldSimple w:instr="PAGE">
      <w:r w:rsidR="005535E3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87371">
    <w:pPr>
      <w:pStyle w:val="af3"/>
      <w:jc w:val="center"/>
    </w:pPr>
    <w:fldSimple w:instr="PAGE">
      <w:r w:rsidR="009A13B3">
        <w:rPr>
          <w:noProof/>
        </w:rPr>
        <w:t>6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210142"/>
    <w:rsid w:val="0021780B"/>
    <w:rsid w:val="00245AE4"/>
    <w:rsid w:val="002548AC"/>
    <w:rsid w:val="00287371"/>
    <w:rsid w:val="002B0BEC"/>
    <w:rsid w:val="002B4FCB"/>
    <w:rsid w:val="002F5F1A"/>
    <w:rsid w:val="00355612"/>
    <w:rsid w:val="003B474F"/>
    <w:rsid w:val="003E1759"/>
    <w:rsid w:val="003F2CB7"/>
    <w:rsid w:val="00460B4D"/>
    <w:rsid w:val="00464CD3"/>
    <w:rsid w:val="00476525"/>
    <w:rsid w:val="00514456"/>
    <w:rsid w:val="00524A44"/>
    <w:rsid w:val="0054454A"/>
    <w:rsid w:val="005535E3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3B3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7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88</cp:revision>
  <cp:lastPrinted>2018-10-19T11:21:00Z</cp:lastPrinted>
  <dcterms:created xsi:type="dcterms:W3CDTF">2014-09-22T12:10:00Z</dcterms:created>
  <dcterms:modified xsi:type="dcterms:W3CDTF">2018-10-19T11:22:00Z</dcterms:modified>
</cp:coreProperties>
</file>