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</w:t>
      </w:r>
      <w:r w:rsidR="00DE4915">
        <w:rPr>
          <w:rFonts w:ascii="Times New Roman" w:hAnsi="Times New Roman"/>
          <w:spacing w:val="-12"/>
          <w:sz w:val="28"/>
          <w:szCs w:val="28"/>
          <w:lang w:eastAsia="zh-CN"/>
        </w:rPr>
        <w:t xml:space="preserve">  </w:t>
      </w: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2B1E68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0E614A">
        <w:rPr>
          <w:rFonts w:ascii="Times New Roman" w:hAnsi="Times New Roman"/>
          <w:kern w:val="2"/>
          <w:sz w:val="24"/>
          <w:szCs w:val="24"/>
          <w:lang w:eastAsia="zh-CN"/>
        </w:rPr>
        <w:t xml:space="preserve">23.10.2024 </w:t>
      </w:r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>г.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0E614A">
        <w:rPr>
          <w:rFonts w:ascii="Times New Roman" w:hAnsi="Times New Roman"/>
          <w:spacing w:val="-12"/>
          <w:sz w:val="24"/>
          <w:szCs w:val="24"/>
          <w:lang w:eastAsia="zh-CN"/>
        </w:rPr>
        <w:t>250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комфортной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146CF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0E2A9D" w:rsidP="00C106B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</w:t>
            </w:r>
            <w:r w:rsidR="008A407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0E2A9D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0E2A9D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0E2A9D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о порядке сбора информации и методике расчета целевых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26CB3" w:rsidRPr="00FD5D2B" w:rsidTr="008A407A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C8005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8A407A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06B3" w:rsidRPr="00FD5D2B" w:rsidRDefault="00C106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8A407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426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  <w:r w:rsidR="00426F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 xml:space="preserve"> дизайн-проект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B46234" w:rsidRDefault="00B46234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B46234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A407A" w:rsidRPr="00FD5D2B" w:rsidTr="008A40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A" w:rsidRPr="00FD5D2B" w:rsidRDefault="008A407A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0E2A9D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</w:t>
            </w:r>
            <w:r w:rsidR="008A407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0E2A9D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</w:t>
            </w:r>
            <w:r w:rsidR="008A407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A407A" w:rsidRPr="00FD5D2B" w:rsidTr="008A407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0E2A9D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0E2A9D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</w:tr>
      <w:tr w:rsidR="008A407A" w:rsidRPr="00FD5D2B" w:rsidTr="008A407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0E2A9D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1907,9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0E2A9D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= Мв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>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= Зф / Зп,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Зф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ЗПп/пф / ЗПп/пп,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ЗПп/пп / ЗПп/пф,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ЗПп/пп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ki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= СРп/п * Эис,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ЗПгп/пф / ЗПгп/пп,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ЗПгп/пл / ЗПгп/пф,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 xml:space="preserve">ki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ЭРгп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= Фj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j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представляют координатору муниципальной программы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9E7" w:rsidRDefault="001119E7" w:rsidP="00C866D4">
      <w:pPr>
        <w:spacing w:after="0" w:line="240" w:lineRule="auto"/>
      </w:pPr>
      <w:r>
        <w:separator/>
      </w:r>
    </w:p>
  </w:endnote>
  <w:endnote w:type="continuationSeparator" w:id="1">
    <w:p w:rsidR="001119E7" w:rsidRDefault="001119E7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9E7" w:rsidRDefault="001119E7" w:rsidP="00C866D4">
      <w:pPr>
        <w:spacing w:after="0" w:line="240" w:lineRule="auto"/>
      </w:pPr>
      <w:r>
        <w:separator/>
      </w:r>
    </w:p>
  </w:footnote>
  <w:footnote w:type="continuationSeparator" w:id="1">
    <w:p w:rsidR="001119E7" w:rsidRDefault="001119E7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E2A9D"/>
    <w:rsid w:val="000E614A"/>
    <w:rsid w:val="000F2A00"/>
    <w:rsid w:val="000F42D5"/>
    <w:rsid w:val="000F4570"/>
    <w:rsid w:val="00103C41"/>
    <w:rsid w:val="001054B6"/>
    <w:rsid w:val="0010776C"/>
    <w:rsid w:val="00107A52"/>
    <w:rsid w:val="00110011"/>
    <w:rsid w:val="001119E7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850DF"/>
    <w:rsid w:val="0029755F"/>
    <w:rsid w:val="00297DB3"/>
    <w:rsid w:val="002A4086"/>
    <w:rsid w:val="002A414C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36E0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3E6DD3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5DE2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D62BB"/>
    <w:rsid w:val="004E482B"/>
    <w:rsid w:val="004F70A6"/>
    <w:rsid w:val="0050033C"/>
    <w:rsid w:val="005008F2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252"/>
    <w:rsid w:val="00707D55"/>
    <w:rsid w:val="0071012D"/>
    <w:rsid w:val="00712483"/>
    <w:rsid w:val="007137ED"/>
    <w:rsid w:val="00715604"/>
    <w:rsid w:val="007237D8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267A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07A"/>
    <w:rsid w:val="008A4998"/>
    <w:rsid w:val="008A74F7"/>
    <w:rsid w:val="008B0EAB"/>
    <w:rsid w:val="008B79F5"/>
    <w:rsid w:val="008C193A"/>
    <w:rsid w:val="008C199D"/>
    <w:rsid w:val="008C32D5"/>
    <w:rsid w:val="008C3373"/>
    <w:rsid w:val="008C638B"/>
    <w:rsid w:val="008D211D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A34A4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E51AE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6234"/>
    <w:rsid w:val="00B53128"/>
    <w:rsid w:val="00B56DE5"/>
    <w:rsid w:val="00B63BDF"/>
    <w:rsid w:val="00B77A5F"/>
    <w:rsid w:val="00B81B79"/>
    <w:rsid w:val="00B81F89"/>
    <w:rsid w:val="00B82F36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A7BA2"/>
    <w:rsid w:val="00DB036F"/>
    <w:rsid w:val="00DB4243"/>
    <w:rsid w:val="00DB583B"/>
    <w:rsid w:val="00DC0EE1"/>
    <w:rsid w:val="00DD3C73"/>
    <w:rsid w:val="00DD7451"/>
    <w:rsid w:val="00DE286A"/>
    <w:rsid w:val="00DE4915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5491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7024D-A946-42B3-9087-39ED037E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3729</Words>
  <Characters>21258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24938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82</cp:revision>
  <cp:lastPrinted>2024-02-15T12:17:00Z</cp:lastPrinted>
  <dcterms:created xsi:type="dcterms:W3CDTF">2017-08-15T14:09:00Z</dcterms:created>
  <dcterms:modified xsi:type="dcterms:W3CDTF">2024-10-24T06:09:00Z</dcterms:modified>
</cp:coreProperties>
</file>