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FBA" w:rsidRDefault="00D27FBA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 xml:space="preserve">ПРИЛОЖЕНИЕ </w:t>
      </w:r>
    </w:p>
    <w:p w:rsidR="00D27FBA" w:rsidRDefault="00D27FBA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</w:p>
    <w:p w:rsidR="009708A7" w:rsidRPr="009708A7" w:rsidRDefault="009708A7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>
        <w:rPr>
          <w:spacing w:val="-12"/>
          <w:sz w:val="28"/>
          <w:szCs w:val="28"/>
          <w:lang w:eastAsia="ar-SA"/>
        </w:rPr>
        <w:t>к Порядку</w:t>
      </w:r>
    </w:p>
    <w:p w:rsidR="00986C12" w:rsidRDefault="009708A7" w:rsidP="00986C12">
      <w:pPr>
        <w:framePr w:hSpace="180" w:wrap="around" w:vAnchor="page" w:hAnchor="margin" w:y="1315"/>
        <w:shd w:val="clear" w:color="auto" w:fill="FFFFFF"/>
        <w:suppressAutoHyphens/>
        <w:ind w:left="9356"/>
        <w:jc w:val="both"/>
        <w:rPr>
          <w:sz w:val="28"/>
          <w:szCs w:val="28"/>
        </w:rPr>
      </w:pPr>
      <w:r w:rsidRPr="009708A7">
        <w:rPr>
          <w:spacing w:val="-12"/>
          <w:sz w:val="28"/>
          <w:szCs w:val="28"/>
          <w:lang w:eastAsia="ar-SA"/>
        </w:rPr>
        <w:t xml:space="preserve">проведения мониторинга качества финансового менеджмента в отношении </w:t>
      </w:r>
      <w:r w:rsidR="00986C12" w:rsidRPr="00986C12">
        <w:rPr>
          <w:sz w:val="28"/>
          <w:szCs w:val="28"/>
        </w:rPr>
        <w:t>муниципальных казенных учреждений «</w:t>
      </w:r>
      <w:proofErr w:type="spellStart"/>
      <w:r w:rsidR="00986C12" w:rsidRPr="00986C12">
        <w:rPr>
          <w:sz w:val="28"/>
          <w:szCs w:val="28"/>
        </w:rPr>
        <w:t>Вышестеблиевская</w:t>
      </w:r>
      <w:proofErr w:type="spellEnd"/>
      <w:r w:rsidR="00986C12" w:rsidRPr="00986C12">
        <w:rPr>
          <w:sz w:val="28"/>
          <w:szCs w:val="28"/>
        </w:rPr>
        <w:t xml:space="preserve">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p w:rsidR="00D27FBA" w:rsidRDefault="00D27FBA" w:rsidP="00F30F27">
      <w:pPr>
        <w:framePr w:hSpace="180" w:wrap="around" w:vAnchor="page" w:hAnchor="margin" w:y="1315"/>
        <w:shd w:val="clear" w:color="auto" w:fill="FFFFFF"/>
        <w:suppressAutoHyphens/>
        <w:ind w:left="9356"/>
        <w:jc w:val="center"/>
        <w:rPr>
          <w:spacing w:val="-12"/>
          <w:sz w:val="28"/>
          <w:szCs w:val="28"/>
          <w:lang w:eastAsia="ar-SA"/>
        </w:rPr>
      </w:pPr>
      <w:r w:rsidRPr="00986C12">
        <w:rPr>
          <w:spacing w:val="-12"/>
          <w:sz w:val="28"/>
          <w:szCs w:val="28"/>
          <w:lang w:eastAsia="ar-SA"/>
        </w:rPr>
        <w:t xml:space="preserve">от </w:t>
      </w:r>
      <w:r w:rsidR="00717474">
        <w:rPr>
          <w:spacing w:val="-12"/>
          <w:sz w:val="28"/>
          <w:szCs w:val="28"/>
          <w:lang w:eastAsia="ar-SA"/>
        </w:rPr>
        <w:t xml:space="preserve">25.07.2024 г. </w:t>
      </w:r>
      <w:r>
        <w:rPr>
          <w:spacing w:val="-12"/>
          <w:sz w:val="28"/>
          <w:szCs w:val="28"/>
          <w:lang w:eastAsia="ar-SA"/>
        </w:rPr>
        <w:t xml:space="preserve">№ </w:t>
      </w:r>
      <w:r w:rsidR="00717474">
        <w:rPr>
          <w:spacing w:val="-12"/>
          <w:sz w:val="28"/>
          <w:szCs w:val="28"/>
          <w:lang w:eastAsia="ar-SA"/>
        </w:rPr>
        <w:t>164</w:t>
      </w:r>
    </w:p>
    <w:p w:rsidR="009A309C" w:rsidRDefault="009A309C" w:rsidP="009A309C">
      <w:pPr>
        <w:spacing w:line="0" w:lineRule="atLeast"/>
        <w:jc w:val="center"/>
        <w:rPr>
          <w:sz w:val="28"/>
          <w:szCs w:val="28"/>
        </w:rPr>
      </w:pPr>
    </w:p>
    <w:p w:rsidR="00F30F27" w:rsidRPr="00F30F27" w:rsidRDefault="00F30F27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bookmarkStart w:id="0" w:name="_Hlk171950039"/>
      <w:r w:rsidRPr="00F30F27">
        <w:rPr>
          <w:b/>
          <w:bCs/>
          <w:sz w:val="28"/>
          <w:szCs w:val="28"/>
          <w:lang w:eastAsia="ar-SA"/>
        </w:rPr>
        <w:t>Показатели</w:t>
      </w:r>
    </w:p>
    <w:p w:rsidR="006B1AB8" w:rsidRDefault="00F30F27" w:rsidP="00F30F27">
      <w:pPr>
        <w:suppressAutoHyphens/>
        <w:ind w:right="-1" w:firstLine="709"/>
        <w:jc w:val="center"/>
        <w:rPr>
          <w:b/>
          <w:bCs/>
          <w:sz w:val="28"/>
          <w:szCs w:val="28"/>
          <w:lang w:eastAsia="ar-SA"/>
        </w:rPr>
      </w:pPr>
      <w:r w:rsidRPr="00F30F27">
        <w:rPr>
          <w:b/>
          <w:bCs/>
          <w:sz w:val="28"/>
          <w:szCs w:val="28"/>
          <w:lang w:eastAsia="ar-SA"/>
        </w:rPr>
        <w:t xml:space="preserve">годового мониторинга качества финансового менеджмента в </w:t>
      </w:r>
      <w:r w:rsidR="006B1AB8" w:rsidRPr="006B1AB8">
        <w:rPr>
          <w:b/>
          <w:bCs/>
          <w:sz w:val="28"/>
          <w:szCs w:val="28"/>
          <w:lang w:eastAsia="ar-SA"/>
        </w:rPr>
        <w:t xml:space="preserve">отношении </w:t>
      </w:r>
      <w:r w:rsidR="00986C12" w:rsidRPr="0088656F">
        <w:rPr>
          <w:b/>
          <w:sz w:val="28"/>
          <w:szCs w:val="28"/>
        </w:rPr>
        <w:t>муниципальных казенных учреждений «</w:t>
      </w:r>
      <w:proofErr w:type="spellStart"/>
      <w:r w:rsidR="00986C12" w:rsidRPr="0088656F">
        <w:rPr>
          <w:b/>
          <w:sz w:val="28"/>
          <w:szCs w:val="28"/>
        </w:rPr>
        <w:t>Вышестеблиевская</w:t>
      </w:r>
      <w:proofErr w:type="spellEnd"/>
      <w:r w:rsidR="00986C12" w:rsidRPr="0088656F">
        <w:rPr>
          <w:b/>
          <w:sz w:val="28"/>
          <w:szCs w:val="28"/>
        </w:rPr>
        <w:t xml:space="preserve"> централизованная бухгалтерия» и «Производственно эксплуатационный центр» Вышестеблиевского сельского поселения Темрюкского района, подведомственных администрации Вышестеблиевского сельского поселения Темрюкского района</w:t>
      </w:r>
    </w:p>
    <w:bookmarkEnd w:id="0"/>
    <w:p w:rsidR="00F30F27" w:rsidRPr="00F30F27" w:rsidRDefault="00F30F27" w:rsidP="00F30F2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tbl>
      <w:tblPr>
        <w:tblW w:w="14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0"/>
        <w:gridCol w:w="2465"/>
        <w:gridCol w:w="755"/>
        <w:gridCol w:w="2380"/>
        <w:gridCol w:w="3640"/>
        <w:gridCol w:w="2100"/>
        <w:gridCol w:w="1540"/>
      </w:tblGrid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Наименование показателя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Расчет показателя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Единица измерения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Документы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(формы бюджетной отчетности), используемые для расчета показателя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Оценка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Комментарий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Вес направления/коэффициент показателя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7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" w:name="sub_111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1. Эффективность исполнения бюджета по доходам</w:t>
            </w:r>
            <w:bookmarkEnd w:id="1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2" w:name="sub_11101"/>
            <w:r w:rsidRPr="00F30F27">
              <w:rPr>
                <w:rFonts w:ascii="Times New Roman CYR" w:eastAsiaTheme="minorEastAsia" w:hAnsi="Times New Roman CYR" w:cs="Times New Roman CYR"/>
              </w:rPr>
              <w:t>1.1. Управление дебиторской задолженностью по доходам</w:t>
            </w:r>
            <w:bookmarkEnd w:id="2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N1.1 = D1 - D0,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D1 - сумма дебиторской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задолженности по доходам по состоянию на конец отчетного периода;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D0 - сумма дебиторской задолженности по доходам по состоянию на начало отчетного периода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отчетный финансовый год по </w:t>
            </w:r>
            <w:hyperlink r:id="rId8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9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1533525" cy="485775"/>
                  <wp:effectExtent l="0" t="0" r="0" b="0"/>
                  <wp:docPr id="127403145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Негативным считается факт увеличения дебиторской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задолженности по доходам.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Позитивно расценивается сокращение величины дебиторской задолженности по доходам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3" w:name="sub_111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1.2. Наличие просроченной дебиторской задолженности на 1 января года, следующего за 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отчетным</w:t>
            </w:r>
            <w:bookmarkEnd w:id="3"/>
            <w:proofErr w:type="gram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N1.2 = </w:t>
            </w: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просроченной дебиторской задолженности на 1 января года, следующего за отчетным, за исключением дебиторской задолженности, отраженной на счете </w:t>
            </w:r>
            <w:hyperlink r:id="rId1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120900000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"Расчеты по ущербу и иным доходам"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отчетный финансовый год по </w:t>
            </w:r>
            <w:hyperlink r:id="rId12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13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35193817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Негативным считается факт наличия просроченной дебиторской задолженности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4" w:name="sub_112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2. Исполнение бюджета по расходам</w:t>
            </w:r>
            <w:bookmarkEnd w:id="4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5" w:name="sub_11201"/>
            <w:r w:rsidRPr="00F30F27">
              <w:rPr>
                <w:rFonts w:ascii="Times New Roman CYR" w:eastAsiaTheme="minorEastAsia" w:hAnsi="Times New Roman CYR" w:cs="Times New Roman CYR"/>
              </w:rPr>
              <w:t xml:space="preserve">2.1. Равномерность исполнения </w:t>
            </w:r>
            <w:r w:rsidR="00AF2C8E">
              <w:rPr>
                <w:rFonts w:ascii="Times New Roman CYR" w:eastAsiaTheme="minorEastAsia" w:hAnsi="Times New Roman CYR" w:cs="Times New Roman CYR"/>
              </w:rPr>
              <w:t>местного бюджета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по расходам</w:t>
            </w:r>
            <w:bookmarkEnd w:id="5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962025" cy="447675"/>
                  <wp:effectExtent l="0" t="0" r="0" b="0"/>
                  <wp:docPr id="92823678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V - объем кассовых выплат по расходам </w:t>
            </w:r>
            <w:r>
              <w:rPr>
                <w:rFonts w:ascii="Times New Roman CYR" w:eastAsiaTheme="minorEastAsia" w:hAnsi="Times New Roman CYR" w:cs="Times New Roman CYR"/>
              </w:rPr>
              <w:t>местного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бюджета в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отчетном финансовом году;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90500" cy="219075"/>
                  <wp:effectExtent l="0" t="0" r="0" b="0"/>
                  <wp:docPr id="52265053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кассовых выплат по расходам </w:t>
            </w:r>
            <w:r>
              <w:rPr>
                <w:rFonts w:ascii="Times New Roman CYR" w:eastAsiaTheme="minorEastAsia" w:hAnsi="Times New Roman CYR" w:cs="Times New Roman CYR"/>
              </w:rPr>
              <w:t xml:space="preserve">местного </w:t>
            </w:r>
            <w:r w:rsidRPr="00F30F27">
              <w:rPr>
                <w:rFonts w:ascii="Times New Roman CYR" w:eastAsiaTheme="minorEastAsia" w:hAnsi="Times New Roman CYR" w:cs="Times New Roman CYR"/>
              </w:rPr>
              <w:t>бюджета в IV квартале отчетного финансового года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Сведения о кассовом исполнении по расходам (</w:t>
            </w:r>
            <w:hyperlink r:id="rId17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форма 0503127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) за отчетный финансовый год и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IV квартал отчетного финансового года соответственно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lastRenderedPageBreak/>
              <w:drawing>
                <wp:inline distT="0" distB="0" distL="0" distR="0">
                  <wp:extent cx="1724025" cy="485775"/>
                  <wp:effectExtent l="0" t="0" r="0" b="0"/>
                  <wp:docPr id="105152873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Показатель выявляет превышение от целевого значения расходов в IV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квартале отчетного финансового года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6" w:name="sub_112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2.2. Наличие просроченной кредиторской задолженности по расчетам с поставщиками и подрядчиками</w:t>
            </w:r>
            <w:bookmarkEnd w:id="6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942975" cy="409575"/>
                  <wp:effectExtent l="0" t="0" r="0" b="0"/>
                  <wp:docPr id="15270112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N2.2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K - объем просроченной кредиторской задолженности по расчетам с поставщиками и подрядчиками в отчетном финансовом году по состоянию на 1 января финансового года,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следующего за 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отчетным</w:t>
            </w:r>
            <w:proofErr w:type="gramEnd"/>
            <w:r w:rsidRPr="00F30F27">
              <w:rPr>
                <w:rFonts w:ascii="Times New Roman CYR" w:eastAsiaTheme="minorEastAsia" w:hAnsi="Times New Roman CYR" w:cs="Times New Roman CYR"/>
              </w:rPr>
              <w:t>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7" w:name="sub_112021"/>
            <w:r w:rsidRPr="00F30F27">
              <w:rPr>
                <w:rFonts w:ascii="Times New Roman CYR" w:eastAsiaTheme="minorEastAsia" w:hAnsi="Times New Roman CYR" w:cs="Times New Roman CYR"/>
              </w:rPr>
              <w:t>Е - кассовое исполнение по расходам на поставки товаров, выполнение работ, оказание услуг в отчетном финансовом году.</w:t>
            </w:r>
            <w:bookmarkEnd w:id="7"/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по дебиторской и кредиторской задолженности за отчетный финансовый год по </w:t>
            </w:r>
            <w:hyperlink r:id="rId20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0503169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сведения о кассовом исполнении по расходам за отчетный период по </w:t>
            </w:r>
            <w:hyperlink r:id="rId2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0503127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утвержденным </w:t>
            </w:r>
            <w:hyperlink r:id="rId22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191н;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68707113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Негативно оценивается факт наличия просроченной кредиторской задолженности по расчетам с поставщиками и подрядчиками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8" w:name="sub_113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>3. Исполнение судебных актов</w:t>
            </w:r>
            <w:bookmarkEnd w:id="8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9" w:name="sub_11301"/>
            <w:r w:rsidRPr="00F30F27">
              <w:rPr>
                <w:rFonts w:ascii="Times New Roman CYR" w:eastAsiaTheme="minorEastAsia" w:hAnsi="Times New Roman CYR" w:cs="Times New Roman CYR"/>
              </w:rPr>
              <w:t>3.1. Эффективность работы по сокращению принятых в отчетном финансовом году обязательств по вступившим в законную силу судебным актам (исполнительным листам</w:t>
            </w:r>
            <w:proofErr w:type="gramStart"/>
            <w:r w:rsidRPr="00F30F27">
              <w:rPr>
                <w:rFonts w:ascii="Times New Roman CYR" w:eastAsiaTheme="minorEastAsia" w:hAnsi="Times New Roman CYR" w:cs="Times New Roman CYR"/>
              </w:rPr>
              <w:t>)</w:t>
            </w:r>
            <w:bookmarkEnd w:id="9"/>
            <w:proofErr w:type="gramEnd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85800" cy="219075"/>
                  <wp:effectExtent l="0" t="0" r="0" b="0"/>
                  <wp:docPr id="187211748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общая сумма исковых требований в денежном выражении по принятым денежным обязательствам, определенная судом к взысканию по актам, вступившим в законную силу в отчетном периоде;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80975" cy="219075"/>
                  <wp:effectExtent l="0" t="0" r="0" b="0"/>
                  <wp:docPr id="8312722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общая сумма уменьшения денежных обязательств по исковым требованиям в отчетном периоде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об исполнении судебных решений по денежным обязательствам по </w:t>
            </w:r>
            <w:hyperlink r:id="rId26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0503296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27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121910387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Целевым ориентиром является значение показателя, равное "0"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0" w:name="sub_114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4. Учет и отчетность</w:t>
            </w:r>
            <w:bookmarkEnd w:id="10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20%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1" w:name="sub_11401"/>
            <w:r w:rsidRPr="00F30F27">
              <w:rPr>
                <w:rFonts w:ascii="Times New Roman CYR" w:eastAsiaTheme="minorEastAsia" w:hAnsi="Times New Roman CYR" w:cs="Times New Roman CYR"/>
              </w:rPr>
              <w:t xml:space="preserve">4.1. Своевременность представления информации </w:t>
            </w:r>
            <w:r>
              <w:rPr>
                <w:rFonts w:ascii="Times New Roman CYR" w:eastAsiaTheme="minorEastAsia" w:hAnsi="Times New Roman CYR" w:cs="Times New Roman CYR"/>
              </w:rPr>
              <w:t xml:space="preserve">в финансовый отдел </w:t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для пояснительной записки</w:t>
            </w:r>
            <w:bookmarkEnd w:id="11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276225" cy="219075"/>
                  <wp:effectExtent l="0" t="0" r="0" b="0"/>
                  <wp:docPr id="130111514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 xml:space="preserve"> - своевременность представления информации для пояснительной записки (согласно переданным полномочиям по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ведению учета и формированию отчетности)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Да/нет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Сведения необходимые для раскрытия в пояснительной записке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1, если информация представлена своевременно и в полном объеме;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0, если информация представлена несвоевременно и (или) не в полном объеме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Негативно расценивается несвоевременное и (или) неполное представление информации для формирования бюджетной отчетности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2" w:name="sub_115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 xml:space="preserve">5. Осуществление закупок товаров, работ и услуг для обеспечения </w:t>
            </w: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 xml:space="preserve">муниципальных </w:t>
            </w:r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нужд</w:t>
            </w:r>
            <w:bookmarkEnd w:id="12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3" w:name="sub_11501"/>
            <w:r w:rsidRPr="00F30F27">
              <w:rPr>
                <w:rFonts w:ascii="Times New Roman CYR" w:eastAsiaTheme="minorEastAsia" w:hAnsi="Times New Roman CYR" w:cs="Times New Roman CYR"/>
              </w:rPr>
              <w:t>5.1. Доля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</w:t>
            </w:r>
            <w:bookmarkEnd w:id="13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38175" cy="438150"/>
                  <wp:effectExtent l="0" t="0" r="0" b="0"/>
                  <wp:docPr id="147745152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Kkse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количество контрактов, заключенных с единственным поставщиком (подрядчиком, исполнителем) по результатам несостоявшихся конкурентных способов определения поставщиков (подрядчиков, исполнителей) в отчетном периоде (в единицах);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Kks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общее количество заключенных контрактов в отчетном периоде по результатам конкурентных способов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определения поставщиков (подрядчиков, исполнителей) (в единицах)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Информация, размещенная на ЕИС</w:t>
            </w:r>
            <w:hyperlink w:anchor="sub_1111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*</w:t>
              </w:r>
            </w:hyperlink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781175" cy="571500"/>
                  <wp:effectExtent l="0" t="0" r="0" b="0"/>
                  <wp:docPr id="92174072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Показатель характеризует степень влияния нерыночных факторов и уровень организации закупочной деятельности главного администратора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4" w:name="sub_11502"/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5.2. Доля участия субъектов малого предпринимательства, социально ориентированных некоммерческих организаций в закупках</w:t>
            </w:r>
            <w:bookmarkEnd w:id="14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695325" cy="428625"/>
                  <wp:effectExtent l="0" t="0" r="0" b="0"/>
                  <wp:docPr id="1370762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Zksmp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объем закупок главного администратора у субъектов малого предпринимательства и социально ориентированных некоммерческих организаций в отчетном периоде (в тыс. рублей);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SZ - совокупный годовой объем закупок главного администратора, за исключением объема закупок главного администратора, сведения о которых составляют государственную тайну (в тыс. рублей)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%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Информация, размещенная на ЕИС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09575"/>
                  <wp:effectExtent l="0" t="0" r="0" b="0"/>
                  <wp:docPr id="92358531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Показатель отражает объем закупок главного администратора у субъектов малого предпринимательства и социально ориентированных некоммерческих организаций в отчетном периоде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0,5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5" w:name="sub_116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t>6. Контроль и аудит</w:t>
            </w:r>
            <w:bookmarkEnd w:id="15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6" w:name="sub_11601"/>
            <w:r w:rsidRPr="00F30F27">
              <w:rPr>
                <w:rFonts w:ascii="Times New Roman CYR" w:eastAsiaTheme="minorEastAsia" w:hAnsi="Times New Roman CYR" w:cs="Times New Roman CYR"/>
              </w:rPr>
              <w:t xml:space="preserve">6.1. Наличие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замечаний внешних контрольных органов проверки в отчетном финансовом году</w:t>
            </w:r>
            <w:bookmarkEnd w:id="16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N6.1 - наличие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замечаний внешних контрольных органов по результатам проверки в отчетном финансовом году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раз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Акты (итоговый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документ) о результатах проверок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E(N) = 1, если в Акте по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результатам проверки в отчетном году внешних контрольных органов не отражены нарушения;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E(N) = 0, если в Акте по результатам проверки в отчетном году внешних контрольных органов отражены нарушения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 xml:space="preserve">Негативно </w:t>
            </w: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расценивается наличие в Акте внешних контрольных органов по итогам проверки, проведенной в отчетном финансовом году, нарушений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lastRenderedPageBreak/>
              <w:t>0,6</w:t>
            </w:r>
          </w:p>
        </w:tc>
      </w:tr>
      <w:tr w:rsidR="00F30F27" w:rsidRPr="00F30F27" w:rsidTr="00510469">
        <w:tc>
          <w:tcPr>
            <w:tcW w:w="134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</w:pPr>
            <w:bookmarkStart w:id="17" w:name="sub_11700"/>
            <w:r w:rsidRPr="00F30F27">
              <w:rPr>
                <w:rFonts w:ascii="Times New Roman CYR" w:eastAsiaTheme="minorEastAsia" w:hAnsi="Times New Roman CYR" w:cs="Times New Roman CYR"/>
                <w:b/>
                <w:bCs/>
                <w:color w:val="26282F"/>
              </w:rPr>
              <w:lastRenderedPageBreak/>
              <w:t>7. Управление имуществом</w:t>
            </w:r>
            <w:bookmarkEnd w:id="17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10%</w:t>
            </w:r>
          </w:p>
        </w:tc>
      </w:tr>
      <w:tr w:rsidR="00F30F27" w:rsidRPr="00F30F27" w:rsidTr="00510469"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bookmarkStart w:id="18" w:name="sub_11701"/>
            <w:r w:rsidRPr="00F30F27">
              <w:rPr>
                <w:rFonts w:ascii="Times New Roman CYR" w:eastAsiaTheme="minorEastAsia" w:hAnsi="Times New Roman CYR" w:cs="Times New Roman CYR"/>
              </w:rPr>
              <w:t>7.1. Объем выявленных недостач</w:t>
            </w:r>
            <w:bookmarkEnd w:id="18"/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N7.1 = </w:t>
            </w: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>,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где:</w:t>
            </w:r>
          </w:p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proofErr w:type="spellStart"/>
            <w:r w:rsidRPr="00F30F27">
              <w:rPr>
                <w:rFonts w:ascii="Times New Roman CYR" w:eastAsiaTheme="minorEastAsia" w:hAnsi="Times New Roman CYR" w:cs="Times New Roman CYR"/>
              </w:rPr>
              <w:t>k</w:t>
            </w:r>
            <w:proofErr w:type="spellEnd"/>
            <w:r w:rsidRPr="00F30F27">
              <w:rPr>
                <w:rFonts w:ascii="Times New Roman CYR" w:eastAsiaTheme="minorEastAsia" w:hAnsi="Times New Roman CYR" w:cs="Times New Roman CYR"/>
              </w:rPr>
              <w:t xml:space="preserve"> - сумма установленных недостач имущества в отчетном финансовом году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руб.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Сведения о проведении инвентаризации, отраженные в Пояснительной записке; Сведения о движении нефинансовых активов по </w:t>
            </w:r>
            <w:hyperlink r:id="rId34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форме 0503168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, утвержденной </w:t>
            </w:r>
            <w:hyperlink r:id="rId35" w:history="1">
              <w:r w:rsidRPr="00F30F27">
                <w:rPr>
                  <w:rFonts w:ascii="Times New Roman CYR" w:eastAsiaTheme="minorEastAsia" w:hAnsi="Times New Roman CYR" w:cs="Times New Roman CYR"/>
                  <w:color w:val="106BBE"/>
                </w:rPr>
                <w:t>приказом</w:t>
              </w:r>
            </w:hyperlink>
            <w:r w:rsidRPr="00F30F27">
              <w:rPr>
                <w:rFonts w:ascii="Times New Roman CYR" w:eastAsiaTheme="minorEastAsia" w:hAnsi="Times New Roman CYR" w:cs="Times New Roman CYR"/>
              </w:rPr>
              <w:t xml:space="preserve"> Минфина России от 28.12.2010 N 191н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  <w:noProof/>
              </w:rPr>
              <w:drawing>
                <wp:inline distT="0" distB="0" distL="0" distR="0">
                  <wp:extent cx="1533525" cy="485775"/>
                  <wp:effectExtent l="0" t="0" r="0" b="0"/>
                  <wp:docPr id="97780853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 xml:space="preserve">Негативно расценивается наличие установленного факта недостач имущества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F27" w:rsidRPr="00F30F27" w:rsidRDefault="00F30F27" w:rsidP="00F30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F30F27">
              <w:rPr>
                <w:rFonts w:ascii="Times New Roman CYR" w:eastAsiaTheme="minorEastAsia" w:hAnsi="Times New Roman CYR" w:cs="Times New Roman CYR"/>
              </w:rPr>
              <w:t>1,0</w:t>
            </w:r>
          </w:p>
        </w:tc>
      </w:tr>
    </w:tbl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510469" w:rsidRDefault="00510469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</w:p>
    <w:p w:rsidR="00333FF1" w:rsidRDefault="006B1AB8" w:rsidP="00AE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</w:t>
      </w:r>
      <w:proofErr w:type="spellStart"/>
      <w:r w:rsidR="005E6FA7">
        <w:rPr>
          <w:sz w:val="28"/>
          <w:szCs w:val="28"/>
        </w:rPr>
        <w:t>А.В.Нечай</w:t>
      </w:r>
      <w:proofErr w:type="spellEnd"/>
    </w:p>
    <w:sectPr w:rsidR="00333FF1" w:rsidSect="009708A7">
      <w:headerReference w:type="default" r:id="rId3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1A7" w:rsidRDefault="00CD01A7">
      <w:r>
        <w:separator/>
      </w:r>
    </w:p>
  </w:endnote>
  <w:endnote w:type="continuationSeparator" w:id="0">
    <w:p w:rsidR="00CD01A7" w:rsidRDefault="00CD0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1A7" w:rsidRDefault="00CD01A7">
      <w:r>
        <w:separator/>
      </w:r>
    </w:p>
  </w:footnote>
  <w:footnote w:type="continuationSeparator" w:id="0">
    <w:p w:rsidR="00CD01A7" w:rsidRDefault="00CD0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03" w:rsidRDefault="009764FB">
    <w:pPr>
      <w:pStyle w:val="a4"/>
      <w:jc w:val="center"/>
    </w:pPr>
    <w:r>
      <w:fldChar w:fldCharType="begin"/>
    </w:r>
    <w:r w:rsidR="004E3603">
      <w:instrText>PAGE   \* MERGEFORMAT</w:instrText>
    </w:r>
    <w:r>
      <w:fldChar w:fldCharType="separate"/>
    </w:r>
    <w:r w:rsidR="00717474">
      <w:rPr>
        <w:noProof/>
      </w:rPr>
      <w:t>2</w:t>
    </w:r>
    <w:r>
      <w:fldChar w:fldCharType="end"/>
    </w:r>
  </w:p>
  <w:p w:rsidR="00034C8F" w:rsidRDefault="00034C8F" w:rsidP="00A469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60B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9B119F"/>
    <w:multiLevelType w:val="multilevel"/>
    <w:tmpl w:val="3B9EA1E6"/>
    <w:lvl w:ilvl="0">
      <w:start w:val="5"/>
      <w:numFmt w:val="upperRoman"/>
      <w:lvlText w:val="%1."/>
      <w:lvlJc w:val="left"/>
      <w:pPr>
        <w:ind w:left="19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hint="default"/>
      </w:rPr>
    </w:lvl>
  </w:abstractNum>
  <w:abstractNum w:abstractNumId="5">
    <w:nsid w:val="37F874C6"/>
    <w:multiLevelType w:val="hybridMultilevel"/>
    <w:tmpl w:val="9BBE7150"/>
    <w:lvl w:ilvl="0" w:tplc="1F64B974">
      <w:start w:val="6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1B464C"/>
    <w:multiLevelType w:val="hybridMultilevel"/>
    <w:tmpl w:val="72FEF01E"/>
    <w:lvl w:ilvl="0" w:tplc="36048A98">
      <w:start w:val="5"/>
      <w:numFmt w:val="upperRoman"/>
      <w:lvlText w:val="%1."/>
      <w:lvlJc w:val="left"/>
      <w:pPr>
        <w:ind w:left="27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57273F92"/>
    <w:multiLevelType w:val="hybridMultilevel"/>
    <w:tmpl w:val="813EB0FA"/>
    <w:lvl w:ilvl="0" w:tplc="62E434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0873BD"/>
    <w:multiLevelType w:val="hybridMultilevel"/>
    <w:tmpl w:val="351248E0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BD53DE3"/>
    <w:multiLevelType w:val="hybridMultilevel"/>
    <w:tmpl w:val="A9C2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510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E5368"/>
    <w:rsid w:val="00006BDC"/>
    <w:rsid w:val="00007BE2"/>
    <w:rsid w:val="000104F7"/>
    <w:rsid w:val="00014577"/>
    <w:rsid w:val="00021229"/>
    <w:rsid w:val="000231D9"/>
    <w:rsid w:val="00023520"/>
    <w:rsid w:val="00023E11"/>
    <w:rsid w:val="00030A4A"/>
    <w:rsid w:val="00031D75"/>
    <w:rsid w:val="00033E73"/>
    <w:rsid w:val="00034C8F"/>
    <w:rsid w:val="00041C20"/>
    <w:rsid w:val="00041C9E"/>
    <w:rsid w:val="00043BDB"/>
    <w:rsid w:val="00051441"/>
    <w:rsid w:val="00051914"/>
    <w:rsid w:val="00051ADE"/>
    <w:rsid w:val="0005241F"/>
    <w:rsid w:val="00053690"/>
    <w:rsid w:val="00056469"/>
    <w:rsid w:val="00060994"/>
    <w:rsid w:val="00061FE4"/>
    <w:rsid w:val="00062B59"/>
    <w:rsid w:val="00063787"/>
    <w:rsid w:val="00066C3A"/>
    <w:rsid w:val="000679BB"/>
    <w:rsid w:val="00073F7F"/>
    <w:rsid w:val="00076D48"/>
    <w:rsid w:val="000774CE"/>
    <w:rsid w:val="00081ED7"/>
    <w:rsid w:val="00082543"/>
    <w:rsid w:val="000877E5"/>
    <w:rsid w:val="000902BE"/>
    <w:rsid w:val="00091432"/>
    <w:rsid w:val="00097058"/>
    <w:rsid w:val="00097257"/>
    <w:rsid w:val="000A59F6"/>
    <w:rsid w:val="000B2A42"/>
    <w:rsid w:val="000B5408"/>
    <w:rsid w:val="000C0A6F"/>
    <w:rsid w:val="000C560D"/>
    <w:rsid w:val="000C75B0"/>
    <w:rsid w:val="000D0402"/>
    <w:rsid w:val="000D0ED2"/>
    <w:rsid w:val="000D2B7A"/>
    <w:rsid w:val="000D4E83"/>
    <w:rsid w:val="000D7115"/>
    <w:rsid w:val="000D76CE"/>
    <w:rsid w:val="000E24B6"/>
    <w:rsid w:val="000E360F"/>
    <w:rsid w:val="000E69F1"/>
    <w:rsid w:val="000E77E9"/>
    <w:rsid w:val="000E7C98"/>
    <w:rsid w:val="000F124E"/>
    <w:rsid w:val="000F4494"/>
    <w:rsid w:val="000F4D40"/>
    <w:rsid w:val="000F5526"/>
    <w:rsid w:val="000F594D"/>
    <w:rsid w:val="000F7ABB"/>
    <w:rsid w:val="001008E5"/>
    <w:rsid w:val="00105969"/>
    <w:rsid w:val="0011363D"/>
    <w:rsid w:val="00115EC0"/>
    <w:rsid w:val="0011799A"/>
    <w:rsid w:val="00121F14"/>
    <w:rsid w:val="00123159"/>
    <w:rsid w:val="00123279"/>
    <w:rsid w:val="0012395C"/>
    <w:rsid w:val="00125582"/>
    <w:rsid w:val="00126A08"/>
    <w:rsid w:val="00126CF8"/>
    <w:rsid w:val="00127900"/>
    <w:rsid w:val="00131D72"/>
    <w:rsid w:val="00134912"/>
    <w:rsid w:val="00135A3A"/>
    <w:rsid w:val="00137306"/>
    <w:rsid w:val="0014149D"/>
    <w:rsid w:val="00143B5D"/>
    <w:rsid w:val="00147BD6"/>
    <w:rsid w:val="00147F3C"/>
    <w:rsid w:val="00154AC1"/>
    <w:rsid w:val="00154F17"/>
    <w:rsid w:val="0015521D"/>
    <w:rsid w:val="001620E0"/>
    <w:rsid w:val="00170E0B"/>
    <w:rsid w:val="00171432"/>
    <w:rsid w:val="00172CDA"/>
    <w:rsid w:val="00173027"/>
    <w:rsid w:val="00180206"/>
    <w:rsid w:val="0018204B"/>
    <w:rsid w:val="001875E1"/>
    <w:rsid w:val="00187BA2"/>
    <w:rsid w:val="0019041E"/>
    <w:rsid w:val="001908C3"/>
    <w:rsid w:val="0019113E"/>
    <w:rsid w:val="001951DD"/>
    <w:rsid w:val="00196E58"/>
    <w:rsid w:val="00197509"/>
    <w:rsid w:val="001A0F93"/>
    <w:rsid w:val="001A1546"/>
    <w:rsid w:val="001A4B7E"/>
    <w:rsid w:val="001C1152"/>
    <w:rsid w:val="001C1E23"/>
    <w:rsid w:val="001C7BB5"/>
    <w:rsid w:val="001D00CE"/>
    <w:rsid w:val="001D3075"/>
    <w:rsid w:val="001D367D"/>
    <w:rsid w:val="001D5E1E"/>
    <w:rsid w:val="001E0BAA"/>
    <w:rsid w:val="001E168B"/>
    <w:rsid w:val="001E79B8"/>
    <w:rsid w:val="001F0D2E"/>
    <w:rsid w:val="001F2989"/>
    <w:rsid w:val="002053F6"/>
    <w:rsid w:val="002176F7"/>
    <w:rsid w:val="002212AC"/>
    <w:rsid w:val="00223650"/>
    <w:rsid w:val="0022458D"/>
    <w:rsid w:val="00230331"/>
    <w:rsid w:val="0023564E"/>
    <w:rsid w:val="00242F4D"/>
    <w:rsid w:val="002447A0"/>
    <w:rsid w:val="00251F92"/>
    <w:rsid w:val="002522B3"/>
    <w:rsid w:val="00255A10"/>
    <w:rsid w:val="00270C90"/>
    <w:rsid w:val="002746B8"/>
    <w:rsid w:val="00275EF2"/>
    <w:rsid w:val="002768F0"/>
    <w:rsid w:val="002854E3"/>
    <w:rsid w:val="00286628"/>
    <w:rsid w:val="00290EC0"/>
    <w:rsid w:val="00293255"/>
    <w:rsid w:val="00296358"/>
    <w:rsid w:val="00296B27"/>
    <w:rsid w:val="002A1198"/>
    <w:rsid w:val="002A16E2"/>
    <w:rsid w:val="002A25AE"/>
    <w:rsid w:val="002A5C0C"/>
    <w:rsid w:val="002A7870"/>
    <w:rsid w:val="002A7E24"/>
    <w:rsid w:val="002B034C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170F"/>
    <w:rsid w:val="002E5E66"/>
    <w:rsid w:val="002E7FD8"/>
    <w:rsid w:val="002F082B"/>
    <w:rsid w:val="002F109E"/>
    <w:rsid w:val="002F4ED5"/>
    <w:rsid w:val="003018E7"/>
    <w:rsid w:val="00302230"/>
    <w:rsid w:val="00310389"/>
    <w:rsid w:val="00311DEE"/>
    <w:rsid w:val="0031283D"/>
    <w:rsid w:val="0031555F"/>
    <w:rsid w:val="00320843"/>
    <w:rsid w:val="00321E67"/>
    <w:rsid w:val="003249BE"/>
    <w:rsid w:val="00326117"/>
    <w:rsid w:val="00326396"/>
    <w:rsid w:val="00326A5F"/>
    <w:rsid w:val="003275D1"/>
    <w:rsid w:val="00330871"/>
    <w:rsid w:val="00330E72"/>
    <w:rsid w:val="00333FF1"/>
    <w:rsid w:val="00341438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0250"/>
    <w:rsid w:val="00382426"/>
    <w:rsid w:val="00384421"/>
    <w:rsid w:val="00386104"/>
    <w:rsid w:val="003949D2"/>
    <w:rsid w:val="003A0117"/>
    <w:rsid w:val="003A2658"/>
    <w:rsid w:val="003B36C7"/>
    <w:rsid w:val="003B7EEA"/>
    <w:rsid w:val="003C1862"/>
    <w:rsid w:val="003D260B"/>
    <w:rsid w:val="003D7B55"/>
    <w:rsid w:val="003E01D1"/>
    <w:rsid w:val="003E13BD"/>
    <w:rsid w:val="003E151E"/>
    <w:rsid w:val="003E23E5"/>
    <w:rsid w:val="003E2FB8"/>
    <w:rsid w:val="003E4F82"/>
    <w:rsid w:val="003E5B6D"/>
    <w:rsid w:val="003E6D92"/>
    <w:rsid w:val="003F210C"/>
    <w:rsid w:val="003F3FBA"/>
    <w:rsid w:val="003F6CA7"/>
    <w:rsid w:val="004006B3"/>
    <w:rsid w:val="0040118E"/>
    <w:rsid w:val="0040222E"/>
    <w:rsid w:val="00402783"/>
    <w:rsid w:val="0041074F"/>
    <w:rsid w:val="00412008"/>
    <w:rsid w:val="00412997"/>
    <w:rsid w:val="00417D59"/>
    <w:rsid w:val="00420F51"/>
    <w:rsid w:val="00423494"/>
    <w:rsid w:val="004333AD"/>
    <w:rsid w:val="0043390C"/>
    <w:rsid w:val="004516BD"/>
    <w:rsid w:val="0045348B"/>
    <w:rsid w:val="00454F30"/>
    <w:rsid w:val="00461803"/>
    <w:rsid w:val="0046670E"/>
    <w:rsid w:val="004712E3"/>
    <w:rsid w:val="00472599"/>
    <w:rsid w:val="00474262"/>
    <w:rsid w:val="00474A1A"/>
    <w:rsid w:val="0047562F"/>
    <w:rsid w:val="004777AD"/>
    <w:rsid w:val="004806F3"/>
    <w:rsid w:val="00481D7F"/>
    <w:rsid w:val="004939BB"/>
    <w:rsid w:val="0049468A"/>
    <w:rsid w:val="00496A59"/>
    <w:rsid w:val="00496B8E"/>
    <w:rsid w:val="004A528D"/>
    <w:rsid w:val="004A55D1"/>
    <w:rsid w:val="004B5B46"/>
    <w:rsid w:val="004B6F10"/>
    <w:rsid w:val="004C0014"/>
    <w:rsid w:val="004C026D"/>
    <w:rsid w:val="004C6EF6"/>
    <w:rsid w:val="004D4777"/>
    <w:rsid w:val="004D4BDC"/>
    <w:rsid w:val="004D579E"/>
    <w:rsid w:val="004E3603"/>
    <w:rsid w:val="004E77FD"/>
    <w:rsid w:val="004E7F84"/>
    <w:rsid w:val="004F01D9"/>
    <w:rsid w:val="004F461C"/>
    <w:rsid w:val="00500F1A"/>
    <w:rsid w:val="005012C2"/>
    <w:rsid w:val="00502782"/>
    <w:rsid w:val="005027F0"/>
    <w:rsid w:val="0050311B"/>
    <w:rsid w:val="00510469"/>
    <w:rsid w:val="00513A33"/>
    <w:rsid w:val="00515806"/>
    <w:rsid w:val="00516E50"/>
    <w:rsid w:val="0052596A"/>
    <w:rsid w:val="00525CF3"/>
    <w:rsid w:val="0054062E"/>
    <w:rsid w:val="005454D8"/>
    <w:rsid w:val="00547CD6"/>
    <w:rsid w:val="005612DF"/>
    <w:rsid w:val="00561CB0"/>
    <w:rsid w:val="00564E29"/>
    <w:rsid w:val="00566555"/>
    <w:rsid w:val="00567E09"/>
    <w:rsid w:val="0057313D"/>
    <w:rsid w:val="005735B5"/>
    <w:rsid w:val="00575A1F"/>
    <w:rsid w:val="00587377"/>
    <w:rsid w:val="00587B6F"/>
    <w:rsid w:val="00590583"/>
    <w:rsid w:val="00595AD0"/>
    <w:rsid w:val="005967F9"/>
    <w:rsid w:val="005A7210"/>
    <w:rsid w:val="005A7425"/>
    <w:rsid w:val="005B2C15"/>
    <w:rsid w:val="005B6D8B"/>
    <w:rsid w:val="005C04F0"/>
    <w:rsid w:val="005C6E97"/>
    <w:rsid w:val="005E0AA5"/>
    <w:rsid w:val="005E0F40"/>
    <w:rsid w:val="005E32B1"/>
    <w:rsid w:val="005E386D"/>
    <w:rsid w:val="005E6FA7"/>
    <w:rsid w:val="005E7879"/>
    <w:rsid w:val="005F1C9A"/>
    <w:rsid w:val="005F3397"/>
    <w:rsid w:val="005F48F1"/>
    <w:rsid w:val="005F4D0D"/>
    <w:rsid w:val="00600536"/>
    <w:rsid w:val="00603519"/>
    <w:rsid w:val="00610C27"/>
    <w:rsid w:val="00612070"/>
    <w:rsid w:val="00623B8A"/>
    <w:rsid w:val="00624BA1"/>
    <w:rsid w:val="00625D76"/>
    <w:rsid w:val="00627512"/>
    <w:rsid w:val="006337C5"/>
    <w:rsid w:val="00641E80"/>
    <w:rsid w:val="0064311F"/>
    <w:rsid w:val="006460F9"/>
    <w:rsid w:val="006552A9"/>
    <w:rsid w:val="00656F02"/>
    <w:rsid w:val="00660812"/>
    <w:rsid w:val="006670AD"/>
    <w:rsid w:val="0067598D"/>
    <w:rsid w:val="00676032"/>
    <w:rsid w:val="00682269"/>
    <w:rsid w:val="00685171"/>
    <w:rsid w:val="00685596"/>
    <w:rsid w:val="006874D2"/>
    <w:rsid w:val="00690E7A"/>
    <w:rsid w:val="0069275B"/>
    <w:rsid w:val="006A1427"/>
    <w:rsid w:val="006A79D9"/>
    <w:rsid w:val="006B19A6"/>
    <w:rsid w:val="006B1AB8"/>
    <w:rsid w:val="006B1B3D"/>
    <w:rsid w:val="006B4190"/>
    <w:rsid w:val="006B6725"/>
    <w:rsid w:val="006C12C2"/>
    <w:rsid w:val="006C3591"/>
    <w:rsid w:val="006C3606"/>
    <w:rsid w:val="006C3A29"/>
    <w:rsid w:val="006D4A14"/>
    <w:rsid w:val="006D64E0"/>
    <w:rsid w:val="006D7D1B"/>
    <w:rsid w:val="006E131E"/>
    <w:rsid w:val="006E197A"/>
    <w:rsid w:val="006E1AFE"/>
    <w:rsid w:val="006E635E"/>
    <w:rsid w:val="006E6FBD"/>
    <w:rsid w:val="006F4C48"/>
    <w:rsid w:val="00703BBB"/>
    <w:rsid w:val="0071568A"/>
    <w:rsid w:val="00716B92"/>
    <w:rsid w:val="00717063"/>
    <w:rsid w:val="00717474"/>
    <w:rsid w:val="007202FE"/>
    <w:rsid w:val="007240CC"/>
    <w:rsid w:val="00730C98"/>
    <w:rsid w:val="00733124"/>
    <w:rsid w:val="0073558B"/>
    <w:rsid w:val="00735F84"/>
    <w:rsid w:val="0073795A"/>
    <w:rsid w:val="00740474"/>
    <w:rsid w:val="007409F6"/>
    <w:rsid w:val="00745159"/>
    <w:rsid w:val="007460F8"/>
    <w:rsid w:val="0074736A"/>
    <w:rsid w:val="00761268"/>
    <w:rsid w:val="007618BB"/>
    <w:rsid w:val="0076626F"/>
    <w:rsid w:val="007701B1"/>
    <w:rsid w:val="007722E0"/>
    <w:rsid w:val="00780D64"/>
    <w:rsid w:val="00784961"/>
    <w:rsid w:val="00787737"/>
    <w:rsid w:val="007913B8"/>
    <w:rsid w:val="007925A0"/>
    <w:rsid w:val="00792C3D"/>
    <w:rsid w:val="007935C8"/>
    <w:rsid w:val="00793E5D"/>
    <w:rsid w:val="00793F6E"/>
    <w:rsid w:val="00794DEB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5815"/>
    <w:rsid w:val="007B7A19"/>
    <w:rsid w:val="007C1185"/>
    <w:rsid w:val="007C4AD9"/>
    <w:rsid w:val="007D0334"/>
    <w:rsid w:val="007D322F"/>
    <w:rsid w:val="007D47AD"/>
    <w:rsid w:val="007D4A09"/>
    <w:rsid w:val="007D524D"/>
    <w:rsid w:val="007D61B2"/>
    <w:rsid w:val="007E1DF9"/>
    <w:rsid w:val="007F0BBA"/>
    <w:rsid w:val="007F4833"/>
    <w:rsid w:val="00801781"/>
    <w:rsid w:val="00801DD0"/>
    <w:rsid w:val="008057C8"/>
    <w:rsid w:val="00811D03"/>
    <w:rsid w:val="0081372A"/>
    <w:rsid w:val="00814441"/>
    <w:rsid w:val="0081456E"/>
    <w:rsid w:val="00814E43"/>
    <w:rsid w:val="008154BF"/>
    <w:rsid w:val="008163FE"/>
    <w:rsid w:val="00821591"/>
    <w:rsid w:val="0082256D"/>
    <w:rsid w:val="008227F5"/>
    <w:rsid w:val="0082603C"/>
    <w:rsid w:val="00827E25"/>
    <w:rsid w:val="00830EB1"/>
    <w:rsid w:val="00834BE6"/>
    <w:rsid w:val="00840603"/>
    <w:rsid w:val="008408C3"/>
    <w:rsid w:val="00855914"/>
    <w:rsid w:val="008627EB"/>
    <w:rsid w:val="008629ED"/>
    <w:rsid w:val="008640F5"/>
    <w:rsid w:val="00864BAA"/>
    <w:rsid w:val="00865028"/>
    <w:rsid w:val="00871872"/>
    <w:rsid w:val="00876458"/>
    <w:rsid w:val="0087712D"/>
    <w:rsid w:val="008849FD"/>
    <w:rsid w:val="00895E86"/>
    <w:rsid w:val="008A0734"/>
    <w:rsid w:val="008A097C"/>
    <w:rsid w:val="008A14D3"/>
    <w:rsid w:val="008A2556"/>
    <w:rsid w:val="008A3F85"/>
    <w:rsid w:val="008A55C8"/>
    <w:rsid w:val="008B3D5F"/>
    <w:rsid w:val="008B5BAE"/>
    <w:rsid w:val="008B6CDE"/>
    <w:rsid w:val="008C0E09"/>
    <w:rsid w:val="008C467F"/>
    <w:rsid w:val="008D0714"/>
    <w:rsid w:val="008D1A54"/>
    <w:rsid w:val="008D2724"/>
    <w:rsid w:val="008E3FBF"/>
    <w:rsid w:val="008F603B"/>
    <w:rsid w:val="00906755"/>
    <w:rsid w:val="00910F14"/>
    <w:rsid w:val="00911685"/>
    <w:rsid w:val="009153A6"/>
    <w:rsid w:val="00915697"/>
    <w:rsid w:val="0091571C"/>
    <w:rsid w:val="00920519"/>
    <w:rsid w:val="009205F3"/>
    <w:rsid w:val="00924385"/>
    <w:rsid w:val="00931F0F"/>
    <w:rsid w:val="00935519"/>
    <w:rsid w:val="009366C0"/>
    <w:rsid w:val="00951228"/>
    <w:rsid w:val="00951E17"/>
    <w:rsid w:val="00953B77"/>
    <w:rsid w:val="00953F03"/>
    <w:rsid w:val="009541DE"/>
    <w:rsid w:val="00954A8D"/>
    <w:rsid w:val="009554D1"/>
    <w:rsid w:val="00955F1D"/>
    <w:rsid w:val="00956C8D"/>
    <w:rsid w:val="00960829"/>
    <w:rsid w:val="00967930"/>
    <w:rsid w:val="009708A7"/>
    <w:rsid w:val="00971EAC"/>
    <w:rsid w:val="009727D7"/>
    <w:rsid w:val="009764FB"/>
    <w:rsid w:val="00976A31"/>
    <w:rsid w:val="00980500"/>
    <w:rsid w:val="00986C12"/>
    <w:rsid w:val="0099018F"/>
    <w:rsid w:val="009923D7"/>
    <w:rsid w:val="0099250B"/>
    <w:rsid w:val="00995491"/>
    <w:rsid w:val="00996F6C"/>
    <w:rsid w:val="009A309C"/>
    <w:rsid w:val="009B0BE4"/>
    <w:rsid w:val="009B7041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C62C6"/>
    <w:rsid w:val="009C7503"/>
    <w:rsid w:val="009D74BF"/>
    <w:rsid w:val="009E1915"/>
    <w:rsid w:val="009F33BA"/>
    <w:rsid w:val="009F7C23"/>
    <w:rsid w:val="00A01075"/>
    <w:rsid w:val="00A0311A"/>
    <w:rsid w:val="00A04A54"/>
    <w:rsid w:val="00A04CF6"/>
    <w:rsid w:val="00A11D83"/>
    <w:rsid w:val="00A26E4E"/>
    <w:rsid w:val="00A27343"/>
    <w:rsid w:val="00A3102F"/>
    <w:rsid w:val="00A33D97"/>
    <w:rsid w:val="00A35106"/>
    <w:rsid w:val="00A351E6"/>
    <w:rsid w:val="00A35844"/>
    <w:rsid w:val="00A362DB"/>
    <w:rsid w:val="00A37763"/>
    <w:rsid w:val="00A37E58"/>
    <w:rsid w:val="00A42892"/>
    <w:rsid w:val="00A43AC8"/>
    <w:rsid w:val="00A45899"/>
    <w:rsid w:val="00A458AF"/>
    <w:rsid w:val="00A469C2"/>
    <w:rsid w:val="00A5055B"/>
    <w:rsid w:val="00A57CB2"/>
    <w:rsid w:val="00A619CD"/>
    <w:rsid w:val="00A62F1A"/>
    <w:rsid w:val="00A63B8C"/>
    <w:rsid w:val="00A65362"/>
    <w:rsid w:val="00A671CB"/>
    <w:rsid w:val="00A70308"/>
    <w:rsid w:val="00A70DFC"/>
    <w:rsid w:val="00A73F19"/>
    <w:rsid w:val="00A77DB3"/>
    <w:rsid w:val="00A80B08"/>
    <w:rsid w:val="00A83778"/>
    <w:rsid w:val="00A92639"/>
    <w:rsid w:val="00A9489C"/>
    <w:rsid w:val="00AB1C21"/>
    <w:rsid w:val="00AB3C19"/>
    <w:rsid w:val="00AB3E8C"/>
    <w:rsid w:val="00AC08C8"/>
    <w:rsid w:val="00AC2A2A"/>
    <w:rsid w:val="00AD03DE"/>
    <w:rsid w:val="00AD0BF7"/>
    <w:rsid w:val="00AD2235"/>
    <w:rsid w:val="00AD3430"/>
    <w:rsid w:val="00AD525B"/>
    <w:rsid w:val="00AD658D"/>
    <w:rsid w:val="00AD7BB0"/>
    <w:rsid w:val="00AE0190"/>
    <w:rsid w:val="00AE41D8"/>
    <w:rsid w:val="00AE5B00"/>
    <w:rsid w:val="00AF0D84"/>
    <w:rsid w:val="00AF234B"/>
    <w:rsid w:val="00AF2A0A"/>
    <w:rsid w:val="00AF2C8E"/>
    <w:rsid w:val="00B01817"/>
    <w:rsid w:val="00B1399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C31"/>
    <w:rsid w:val="00B50C39"/>
    <w:rsid w:val="00B54FA9"/>
    <w:rsid w:val="00B56C03"/>
    <w:rsid w:val="00B57AF3"/>
    <w:rsid w:val="00B57C1A"/>
    <w:rsid w:val="00B62906"/>
    <w:rsid w:val="00B6371C"/>
    <w:rsid w:val="00B65375"/>
    <w:rsid w:val="00B71AE6"/>
    <w:rsid w:val="00B71EE1"/>
    <w:rsid w:val="00B73551"/>
    <w:rsid w:val="00B772B8"/>
    <w:rsid w:val="00B772B9"/>
    <w:rsid w:val="00B80AFA"/>
    <w:rsid w:val="00B83F15"/>
    <w:rsid w:val="00B91D20"/>
    <w:rsid w:val="00B952B0"/>
    <w:rsid w:val="00B970EF"/>
    <w:rsid w:val="00BA1EC8"/>
    <w:rsid w:val="00BA4918"/>
    <w:rsid w:val="00BA5118"/>
    <w:rsid w:val="00BB1FE5"/>
    <w:rsid w:val="00BB47D2"/>
    <w:rsid w:val="00BB4BE3"/>
    <w:rsid w:val="00BB626C"/>
    <w:rsid w:val="00BC50BF"/>
    <w:rsid w:val="00BD0EE8"/>
    <w:rsid w:val="00BD1EEB"/>
    <w:rsid w:val="00BD3CCB"/>
    <w:rsid w:val="00BE4FEC"/>
    <w:rsid w:val="00BE6A2C"/>
    <w:rsid w:val="00BE7158"/>
    <w:rsid w:val="00BF0B84"/>
    <w:rsid w:val="00C040B0"/>
    <w:rsid w:val="00C1083D"/>
    <w:rsid w:val="00C1319A"/>
    <w:rsid w:val="00C14593"/>
    <w:rsid w:val="00C16554"/>
    <w:rsid w:val="00C16984"/>
    <w:rsid w:val="00C23486"/>
    <w:rsid w:val="00C30004"/>
    <w:rsid w:val="00C3626B"/>
    <w:rsid w:val="00C463EE"/>
    <w:rsid w:val="00C4659E"/>
    <w:rsid w:val="00C4791F"/>
    <w:rsid w:val="00C51C34"/>
    <w:rsid w:val="00C52BEA"/>
    <w:rsid w:val="00C56C08"/>
    <w:rsid w:val="00C66D70"/>
    <w:rsid w:val="00C702A9"/>
    <w:rsid w:val="00C73DA8"/>
    <w:rsid w:val="00C7640F"/>
    <w:rsid w:val="00C8066B"/>
    <w:rsid w:val="00C85689"/>
    <w:rsid w:val="00C85717"/>
    <w:rsid w:val="00C87016"/>
    <w:rsid w:val="00C90535"/>
    <w:rsid w:val="00C92721"/>
    <w:rsid w:val="00C92A1C"/>
    <w:rsid w:val="00C94C03"/>
    <w:rsid w:val="00CA3AB9"/>
    <w:rsid w:val="00CA4386"/>
    <w:rsid w:val="00CA563C"/>
    <w:rsid w:val="00CA5DA8"/>
    <w:rsid w:val="00CA70CE"/>
    <w:rsid w:val="00CB0805"/>
    <w:rsid w:val="00CB28A1"/>
    <w:rsid w:val="00CB3C38"/>
    <w:rsid w:val="00CB408F"/>
    <w:rsid w:val="00CB4A40"/>
    <w:rsid w:val="00CB6933"/>
    <w:rsid w:val="00CC2753"/>
    <w:rsid w:val="00CD0180"/>
    <w:rsid w:val="00CD01A7"/>
    <w:rsid w:val="00CD4438"/>
    <w:rsid w:val="00CD4D36"/>
    <w:rsid w:val="00CE45F5"/>
    <w:rsid w:val="00CE4B61"/>
    <w:rsid w:val="00CF29F8"/>
    <w:rsid w:val="00CF2FFB"/>
    <w:rsid w:val="00CF38E6"/>
    <w:rsid w:val="00CF3F40"/>
    <w:rsid w:val="00CF4F2C"/>
    <w:rsid w:val="00CF7003"/>
    <w:rsid w:val="00D04255"/>
    <w:rsid w:val="00D07860"/>
    <w:rsid w:val="00D10C0B"/>
    <w:rsid w:val="00D16FD8"/>
    <w:rsid w:val="00D23AF1"/>
    <w:rsid w:val="00D24013"/>
    <w:rsid w:val="00D27FBA"/>
    <w:rsid w:val="00D31300"/>
    <w:rsid w:val="00D33229"/>
    <w:rsid w:val="00D406C4"/>
    <w:rsid w:val="00D54F46"/>
    <w:rsid w:val="00D556F5"/>
    <w:rsid w:val="00D56924"/>
    <w:rsid w:val="00D57CA4"/>
    <w:rsid w:val="00D6422C"/>
    <w:rsid w:val="00D70ECE"/>
    <w:rsid w:val="00D745D4"/>
    <w:rsid w:val="00D7462A"/>
    <w:rsid w:val="00D7537A"/>
    <w:rsid w:val="00D811D0"/>
    <w:rsid w:val="00D81FE9"/>
    <w:rsid w:val="00D8719B"/>
    <w:rsid w:val="00D90087"/>
    <w:rsid w:val="00D97EDD"/>
    <w:rsid w:val="00DA17D9"/>
    <w:rsid w:val="00DA38A0"/>
    <w:rsid w:val="00DA6F51"/>
    <w:rsid w:val="00DB03A6"/>
    <w:rsid w:val="00DB053D"/>
    <w:rsid w:val="00DB0FCC"/>
    <w:rsid w:val="00DB2249"/>
    <w:rsid w:val="00DB4899"/>
    <w:rsid w:val="00DB52CE"/>
    <w:rsid w:val="00DC11E1"/>
    <w:rsid w:val="00DC4EF1"/>
    <w:rsid w:val="00DC70DE"/>
    <w:rsid w:val="00DE563B"/>
    <w:rsid w:val="00DF1228"/>
    <w:rsid w:val="00DF26F4"/>
    <w:rsid w:val="00DF3C9D"/>
    <w:rsid w:val="00DF7F55"/>
    <w:rsid w:val="00E00BB5"/>
    <w:rsid w:val="00E01D97"/>
    <w:rsid w:val="00E05F3A"/>
    <w:rsid w:val="00E1125B"/>
    <w:rsid w:val="00E12BE2"/>
    <w:rsid w:val="00E130AA"/>
    <w:rsid w:val="00E142B1"/>
    <w:rsid w:val="00E14C07"/>
    <w:rsid w:val="00E16AF1"/>
    <w:rsid w:val="00E22883"/>
    <w:rsid w:val="00E25058"/>
    <w:rsid w:val="00E26C78"/>
    <w:rsid w:val="00E36C17"/>
    <w:rsid w:val="00E4447A"/>
    <w:rsid w:val="00E456FD"/>
    <w:rsid w:val="00E57B44"/>
    <w:rsid w:val="00E60968"/>
    <w:rsid w:val="00E63C7D"/>
    <w:rsid w:val="00E651B4"/>
    <w:rsid w:val="00E661A7"/>
    <w:rsid w:val="00E73B1C"/>
    <w:rsid w:val="00E75170"/>
    <w:rsid w:val="00E827A1"/>
    <w:rsid w:val="00E9115A"/>
    <w:rsid w:val="00E95CA0"/>
    <w:rsid w:val="00EA04CA"/>
    <w:rsid w:val="00EB03D5"/>
    <w:rsid w:val="00EB07F1"/>
    <w:rsid w:val="00EB5C42"/>
    <w:rsid w:val="00EC2565"/>
    <w:rsid w:val="00EC6481"/>
    <w:rsid w:val="00EC6803"/>
    <w:rsid w:val="00EC70FD"/>
    <w:rsid w:val="00EC75BC"/>
    <w:rsid w:val="00EC7709"/>
    <w:rsid w:val="00ED27D1"/>
    <w:rsid w:val="00ED3BD1"/>
    <w:rsid w:val="00ED75F0"/>
    <w:rsid w:val="00EE1E28"/>
    <w:rsid w:val="00EE5368"/>
    <w:rsid w:val="00EE61B5"/>
    <w:rsid w:val="00EE65CD"/>
    <w:rsid w:val="00EE7546"/>
    <w:rsid w:val="00EF44C3"/>
    <w:rsid w:val="00F00758"/>
    <w:rsid w:val="00F01D43"/>
    <w:rsid w:val="00F11582"/>
    <w:rsid w:val="00F21072"/>
    <w:rsid w:val="00F23DE6"/>
    <w:rsid w:val="00F24BCA"/>
    <w:rsid w:val="00F25E42"/>
    <w:rsid w:val="00F27AF9"/>
    <w:rsid w:val="00F30AA4"/>
    <w:rsid w:val="00F30F27"/>
    <w:rsid w:val="00F3377D"/>
    <w:rsid w:val="00F43F09"/>
    <w:rsid w:val="00F54060"/>
    <w:rsid w:val="00F54CD5"/>
    <w:rsid w:val="00F57B22"/>
    <w:rsid w:val="00F61ACA"/>
    <w:rsid w:val="00F61E02"/>
    <w:rsid w:val="00F63CD8"/>
    <w:rsid w:val="00F65CCC"/>
    <w:rsid w:val="00F661F3"/>
    <w:rsid w:val="00F677CA"/>
    <w:rsid w:val="00F77D71"/>
    <w:rsid w:val="00F77F23"/>
    <w:rsid w:val="00F80151"/>
    <w:rsid w:val="00F803F6"/>
    <w:rsid w:val="00F811FE"/>
    <w:rsid w:val="00F8446C"/>
    <w:rsid w:val="00F84C20"/>
    <w:rsid w:val="00F904F0"/>
    <w:rsid w:val="00F909DC"/>
    <w:rsid w:val="00F90F96"/>
    <w:rsid w:val="00F932CC"/>
    <w:rsid w:val="00F93A3D"/>
    <w:rsid w:val="00F960D2"/>
    <w:rsid w:val="00FA01F0"/>
    <w:rsid w:val="00FA0D36"/>
    <w:rsid w:val="00FA1EB9"/>
    <w:rsid w:val="00FA6ADF"/>
    <w:rsid w:val="00FB0EF9"/>
    <w:rsid w:val="00FB1BC6"/>
    <w:rsid w:val="00FB368F"/>
    <w:rsid w:val="00FB7E11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locked/>
    <w:rsid w:val="00AD658D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40603"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locked/>
    <w:rsid w:val="0084060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8406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060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406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4060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840603"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link w:val="a7"/>
    <w:locked/>
    <w:rsid w:val="00840603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840603"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</w:rPr>
  </w:style>
  <w:style w:type="paragraph" w:customStyle="1" w:styleId="11">
    <w:name w:val="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 (веб)1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2">
    <w:name w:val="Основной текст_"/>
    <w:link w:val="13"/>
    <w:rsid w:val="007C1185"/>
    <w:rPr>
      <w:sz w:val="24"/>
      <w:szCs w:val="24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2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</w:rPr>
  </w:style>
  <w:style w:type="character" w:customStyle="1" w:styleId="120">
    <w:name w:val="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3">
    <w:name w:val="footer"/>
    <w:basedOn w:val="a"/>
    <w:link w:val="af4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5">
    <w:name w:val="annotation text"/>
    <w:basedOn w:val="a"/>
    <w:link w:val="af6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6">
    <w:name w:val="Текст примечания Знак"/>
    <w:link w:val="af5"/>
    <w:rsid w:val="00B65375"/>
    <w:rPr>
      <w:rFonts w:ascii="Calibri" w:eastAsia="Calibri" w:hAnsi="Calibri"/>
      <w:lang w:eastAsia="en-US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6537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9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a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 Spacing"/>
    <w:uiPriority w:val="1"/>
    <w:qFormat/>
    <w:rsid w:val="00B65375"/>
    <w:rPr>
      <w:rFonts w:eastAsia="Calibri"/>
      <w:sz w:val="28"/>
    </w:rPr>
  </w:style>
  <w:style w:type="paragraph" w:customStyle="1" w:styleId="14">
    <w:name w:val="Без интервала1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c">
    <w:name w:val="Hyperlink"/>
    <w:uiPriority w:val="99"/>
    <w:rsid w:val="00B65375"/>
    <w:rPr>
      <w:color w:val="0000FF"/>
      <w:u w:val="single"/>
    </w:rPr>
  </w:style>
  <w:style w:type="paragraph" w:customStyle="1" w:styleId="15">
    <w:name w:val="Абзац списка1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d">
    <w:name w:val="Гипертекстовая ссылка"/>
    <w:uiPriority w:val="99"/>
    <w:rsid w:val="00B65375"/>
    <w:rPr>
      <w:rFonts w:cs="Times New Roman"/>
      <w:b/>
      <w:bCs/>
      <w:color w:val="106BBE"/>
    </w:rPr>
  </w:style>
  <w:style w:type="paragraph" w:customStyle="1" w:styleId="afe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6">
    <w:name w:val="Знак Знак1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Знак Знак"/>
    <w:rsid w:val="00B65375"/>
    <w:rPr>
      <w:b/>
      <w:bCs/>
      <w:sz w:val="32"/>
      <w:szCs w:val="32"/>
    </w:rPr>
  </w:style>
  <w:style w:type="paragraph" w:styleId="aff0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1">
    <w:name w:val="annotation reference"/>
    <w:uiPriority w:val="99"/>
    <w:unhideWhenUsed/>
    <w:rsid w:val="00454F30"/>
    <w:rPr>
      <w:sz w:val="16"/>
      <w:szCs w:val="16"/>
    </w:rPr>
  </w:style>
  <w:style w:type="table" w:styleId="aff2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uiPriority w:val="99"/>
    <w:unhideWhenUsed/>
    <w:rsid w:val="00121F14"/>
    <w:rPr>
      <w:color w:val="800080"/>
      <w:u w:val="single"/>
    </w:rPr>
  </w:style>
  <w:style w:type="character" w:styleId="aff5">
    <w:name w:val="Strong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</w:rPr>
  </w:style>
  <w:style w:type="character" w:customStyle="1" w:styleId="60">
    <w:name w:val="Заголовок 6 Знак"/>
    <w:link w:val="6"/>
    <w:rsid w:val="00AD658D"/>
    <w:rPr>
      <w:rFonts w:ascii="Calibri" w:hAnsi="Calibri"/>
      <w:b/>
      <w:bCs/>
      <w:sz w:val="22"/>
      <w:szCs w:val="22"/>
      <w:lang w:val="en-US" w:eastAsia="en-US"/>
    </w:rPr>
  </w:style>
  <w:style w:type="character" w:customStyle="1" w:styleId="11pt">
    <w:name w:val="Основной текст + 11 pt"/>
    <w:rsid w:val="006A1427"/>
    <w:rPr>
      <w:color w:val="000000"/>
      <w:spacing w:val="0"/>
      <w:w w:val="100"/>
      <w:position w:val="0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81732/503169" TargetMode="External"/><Relationship Id="rId13" Type="http://schemas.openxmlformats.org/officeDocument/2006/relationships/hyperlink" Target="https://internet.garant.ru/document/redirect/12181732/0" TargetMode="External"/><Relationship Id="rId18" Type="http://schemas.openxmlformats.org/officeDocument/2006/relationships/image" Target="media/image5.emf"/><Relationship Id="rId26" Type="http://schemas.openxmlformats.org/officeDocument/2006/relationships/hyperlink" Target="https://internet.garant.ru/document/redirect/12181732/503296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2181732/503127" TargetMode="External"/><Relationship Id="rId34" Type="http://schemas.openxmlformats.org/officeDocument/2006/relationships/hyperlink" Target="https://internet.garant.ru/document/redirect/12181732/5031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81732/503169" TargetMode="External"/><Relationship Id="rId17" Type="http://schemas.openxmlformats.org/officeDocument/2006/relationships/hyperlink" Target="https://internet.garant.ru/document/redirect/12181732/503127" TargetMode="External"/><Relationship Id="rId25" Type="http://schemas.openxmlformats.org/officeDocument/2006/relationships/image" Target="media/image9.emf"/><Relationship Id="rId33" Type="http://schemas.openxmlformats.org/officeDocument/2006/relationships/image" Target="media/image15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hyperlink" Target="https://internet.garant.ru/document/redirect/12181732/503169" TargetMode="External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80897/20900000" TargetMode="External"/><Relationship Id="rId24" Type="http://schemas.openxmlformats.org/officeDocument/2006/relationships/image" Target="media/image8.emf"/><Relationship Id="rId32" Type="http://schemas.openxmlformats.org/officeDocument/2006/relationships/image" Target="media/image14.e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image" Target="media/image10.emf"/><Relationship Id="rId36" Type="http://schemas.openxmlformats.org/officeDocument/2006/relationships/image" Target="media/image16.emf"/><Relationship Id="rId10" Type="http://schemas.openxmlformats.org/officeDocument/2006/relationships/image" Target="media/image1.emf"/><Relationship Id="rId19" Type="http://schemas.openxmlformats.org/officeDocument/2006/relationships/image" Target="media/image6.emf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81732/0" TargetMode="External"/><Relationship Id="rId14" Type="http://schemas.openxmlformats.org/officeDocument/2006/relationships/image" Target="media/image2.emf"/><Relationship Id="rId22" Type="http://schemas.openxmlformats.org/officeDocument/2006/relationships/hyperlink" Target="https://internet.garant.ru/document/redirect/12181732/0" TargetMode="External"/><Relationship Id="rId27" Type="http://schemas.openxmlformats.org/officeDocument/2006/relationships/hyperlink" Target="https://internet.garant.ru/document/redirect/12181732/0" TargetMode="External"/><Relationship Id="rId30" Type="http://schemas.openxmlformats.org/officeDocument/2006/relationships/image" Target="media/image12.emf"/><Relationship Id="rId35" Type="http://schemas.openxmlformats.org/officeDocument/2006/relationships/hyperlink" Target="https://internet.garant.ru/document/redirect/1218173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6EDE6-07B4-42FE-8B88-B732BED8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924</Words>
  <Characters>7504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8412</CharactersWithSpaces>
  <SharedDoc>false</SharedDoc>
  <HLinks>
    <vt:vector size="6" baseType="variant">
      <vt:variant>
        <vt:i4>5898269</vt:i4>
      </vt:variant>
      <vt:variant>
        <vt:i4>0</vt:i4>
      </vt:variant>
      <vt:variant>
        <vt:i4>0</vt:i4>
      </vt:variant>
      <vt:variant>
        <vt:i4>5</vt:i4>
      </vt:variant>
      <vt:variant>
        <vt:lpwstr>https://fzakon.ru/postanovleniya-pravitelstva/postanovlenie-pravitelstva-rf-ot-09.02.2019-n-106/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1</cp:lastModifiedBy>
  <cp:revision>9</cp:revision>
  <cp:lastPrinted>2024-07-15T13:28:00Z</cp:lastPrinted>
  <dcterms:created xsi:type="dcterms:W3CDTF">2024-07-15T12:44:00Z</dcterms:created>
  <dcterms:modified xsi:type="dcterms:W3CDTF">2024-07-25T12:31:00Z</dcterms:modified>
</cp:coreProperties>
</file>